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DABAF">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sz w:val="36"/>
          <w:szCs w:val="36"/>
          <w:lang w:val="en-US" w:eastAsia="zh-CN"/>
        </w:rPr>
        <w:t>2027寒假学生实地访学项目介绍</w:t>
      </w:r>
    </w:p>
    <w:p w14:paraId="5EF805F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仿宋_GB2312" w:hAnsi="仿宋_GB2312" w:eastAsia="仿宋_GB2312" w:cs="仿宋_GB2312"/>
          <w:b/>
          <w:bCs/>
          <w:sz w:val="28"/>
          <w:szCs w:val="28"/>
          <w:lang w:val="en-US" w:eastAsia="zh-CN"/>
        </w:rPr>
      </w:pPr>
    </w:p>
    <w:p w14:paraId="4B0B500C">
      <w:pPr>
        <w:keepNext w:val="0"/>
        <w:keepLines w:val="0"/>
        <w:pageBreakBefore w:val="0"/>
        <w:numPr>
          <w:ilvl w:val="0"/>
          <w:numId w:val="1"/>
        </w:numPr>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b/>
          <w:bCs/>
          <w:sz w:val="24"/>
          <w:szCs w:val="24"/>
        </w:rPr>
      </w:pPr>
      <w:r>
        <w:rPr>
          <w:rFonts w:hint="eastAsia" w:ascii="黑体" w:hAnsi="黑体" w:eastAsia="黑体" w:cs="黑体"/>
          <w:b/>
          <w:bCs/>
          <w:sz w:val="24"/>
          <w:szCs w:val="24"/>
        </w:rPr>
        <w:t>新加坡国立大学</w:t>
      </w:r>
      <w:r>
        <w:rPr>
          <w:rFonts w:hint="eastAsia" w:ascii="黑体" w:hAnsi="黑体" w:eastAsia="黑体" w:cs="黑体"/>
          <w:b/>
          <w:bCs/>
          <w:sz w:val="24"/>
          <w:szCs w:val="24"/>
          <w:lang w:eastAsia="zh-CN"/>
        </w:rPr>
        <w:t>：</w:t>
      </w:r>
      <w:r>
        <w:rPr>
          <w:rFonts w:hint="eastAsia" w:ascii="黑体" w:hAnsi="黑体" w:eastAsia="黑体" w:cs="黑体"/>
          <w:b/>
          <w:bCs/>
          <w:sz w:val="24"/>
          <w:szCs w:val="24"/>
        </w:rPr>
        <w:t>医学与生命科学项目（感染和癌症中的免疫作用）</w:t>
      </w:r>
    </w:p>
    <w:p w14:paraId="78D067DA">
      <w:pPr>
        <w:keepNext w:val="0"/>
        <w:keepLines w:val="0"/>
        <w:pageBreakBefore w:val="0"/>
        <w:numPr>
          <w:ilvl w:val="0"/>
          <w:numId w:val="0"/>
        </w:numPr>
        <w:kinsoku/>
        <w:wordWrap/>
        <w:overflowPunct/>
        <w:topLinePunct w:val="0"/>
        <w:autoSpaceDE/>
        <w:autoSpaceDN/>
        <w:bidi w:val="0"/>
        <w:adjustRightInd/>
        <w:snapToGrid/>
        <w:spacing w:line="440" w:lineRule="exact"/>
        <w:ind w:leftChars="0" w:right="0" w:rightChars="0"/>
        <w:jc w:val="both"/>
        <w:outlineLvl w:val="9"/>
        <w:rPr>
          <w:rFonts w:hint="eastAsia" w:ascii="仿宋_GB2312" w:hAnsi="仿宋_GB2312" w:eastAsia="仿宋_GB2312" w:cs="仿宋_GB2312"/>
          <w:b/>
          <w:bCs/>
          <w:sz w:val="24"/>
          <w:szCs w:val="24"/>
        </w:rPr>
      </w:pPr>
    </w:p>
    <w:p w14:paraId="6B06799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项目特色</w:t>
      </w:r>
      <w:r>
        <w:rPr>
          <w:rFonts w:hint="eastAsia" w:ascii="仿宋_GB2312" w:hAnsi="仿宋_GB2312" w:eastAsia="仿宋_GB2312" w:cs="仿宋_GB2312"/>
          <w:sz w:val="28"/>
          <w:szCs w:val="28"/>
          <w:lang w:val="en-US" w:eastAsia="zh-CN"/>
        </w:rPr>
        <w:t>：本项目将系统讲解免疫核心原理，以及人体免疫系统识别、清除病原体（病毒、细菌）和异常转化细胞的完整作用机制。围绕微生物病原体和肿瘤细胞会如何利用各种策略来逃避宿主的免疫系统进行讨论。本项目将同步梳理全球前沿治疗战略的最新发展脉络，系统覆盖传染病防控与癌症精准诊疗两大核心方向，帮助学员完整把握前沿医学在两大关键领域的技术演进路径。</w:t>
      </w:r>
    </w:p>
    <w:p w14:paraId="28528DF2">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项目时间</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日，为期8天</w:t>
      </w:r>
    </w:p>
    <w:p w14:paraId="3DC92E3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项目人数</w:t>
      </w:r>
      <w:r>
        <w:rPr>
          <w:rFonts w:hint="eastAsia" w:ascii="仿宋_GB2312" w:hAnsi="仿宋_GB2312" w:eastAsia="仿宋_GB2312" w:cs="仿宋_GB2312"/>
          <w:sz w:val="28"/>
          <w:szCs w:val="28"/>
        </w:rPr>
        <w:t>：不超过40人</w:t>
      </w:r>
    </w:p>
    <w:p w14:paraId="63AD418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授课语言</w:t>
      </w:r>
      <w:r>
        <w:rPr>
          <w:rFonts w:hint="eastAsia" w:ascii="仿宋_GB2312" w:hAnsi="仿宋_GB2312" w:eastAsia="仿宋_GB2312" w:cs="仿宋_GB2312"/>
          <w:sz w:val="28"/>
          <w:szCs w:val="28"/>
        </w:rPr>
        <w:t>：英语</w:t>
      </w:r>
    </w:p>
    <w:p w14:paraId="502E9F2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项目内容</w:t>
      </w:r>
      <w:r>
        <w:rPr>
          <w:rFonts w:hint="eastAsia" w:ascii="仿宋_GB2312" w:hAnsi="仿宋_GB2312" w:eastAsia="仿宋_GB2312" w:cs="仿宋_GB2312"/>
          <w:sz w:val="28"/>
          <w:szCs w:val="28"/>
        </w:rPr>
        <w:t>：讲座学习+实地观摩+互动交流</w:t>
      </w:r>
    </w:p>
    <w:p w14:paraId="312E477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报名条件</w:t>
      </w:r>
      <w:r>
        <w:rPr>
          <w:rFonts w:hint="eastAsia" w:ascii="仿宋_GB2312" w:hAnsi="仿宋_GB2312" w:eastAsia="仿宋_GB2312" w:cs="仿宋_GB2312"/>
          <w:sz w:val="28"/>
          <w:szCs w:val="28"/>
        </w:rPr>
        <w:t>：医学或生物学专业的全日制在读本科生、研究生；思想政治品德良好，遵纪守法，在校期间未受过纪律处分，身心健康。</w:t>
      </w:r>
    </w:p>
    <w:p w14:paraId="5C4066B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报名时间：因名额有限，截止到2026年11月18日</w:t>
      </w:r>
    </w:p>
    <w:p w14:paraId="0ABB5BA9">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项目费用</w:t>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00元人民币/人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费用包含：讲师课酬费、医疗机构参观费、行政管理费，交通费（课程学习机构参观部分）、住宿费（星级酒店标准双人间）、接送费、境外保险费等。自行承担费用：往返新加坡机票费、餐饮费、护照费、行程外费用等。</w:t>
      </w:r>
    </w:p>
    <w:p w14:paraId="11895D19">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项目证书</w:t>
      </w:r>
      <w:r>
        <w:rPr>
          <w:rFonts w:hint="eastAsia" w:ascii="仿宋_GB2312" w:hAnsi="仿宋_GB2312" w:eastAsia="仿宋_GB2312" w:cs="仿宋_GB2312"/>
          <w:sz w:val="28"/>
          <w:szCs w:val="28"/>
        </w:rPr>
        <w:t>：由新加坡国立大学主办学院颁发结业证书、成绩评估报告、优胜小组可获得优秀学员证明。</w:t>
      </w:r>
      <w:bookmarkStart w:id="0" w:name="_GoBack"/>
      <w:bookmarkEnd w:id="0"/>
    </w:p>
    <w:p w14:paraId="5311CE84">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tbl>
      <w:tblPr>
        <w:tblStyle w:val="4"/>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80"/>
        <w:gridCol w:w="7560"/>
      </w:tblGrid>
      <w:tr w14:paraId="0711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0649">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b/>
                <w:bCs/>
                <w:i w:val="0"/>
                <w:color w:val="000000"/>
                <w:sz w:val="24"/>
                <w:szCs w:val="24"/>
                <w:u w:val="none"/>
              </w:rPr>
            </w:pPr>
            <w:r>
              <w:rPr>
                <w:rFonts w:hint="eastAsia" w:ascii="黑体" w:hAnsi="黑体" w:eastAsia="黑体" w:cs="黑体"/>
                <w:b/>
                <w:bCs/>
                <w:i w:val="0"/>
                <w:color w:val="000000"/>
                <w:kern w:val="0"/>
                <w:sz w:val="24"/>
                <w:szCs w:val="24"/>
                <w:u w:val="none"/>
                <w:lang w:val="en-US" w:eastAsia="zh-CN" w:bidi="ar"/>
              </w:rPr>
              <w:t>时间</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E47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b/>
                <w:bCs/>
                <w:i w:val="0"/>
                <w:color w:val="000000"/>
                <w:sz w:val="24"/>
                <w:szCs w:val="24"/>
                <w:u w:val="none"/>
              </w:rPr>
            </w:pPr>
            <w:r>
              <w:rPr>
                <w:rFonts w:hint="eastAsia" w:ascii="黑体" w:hAnsi="黑体" w:eastAsia="黑体" w:cs="黑体"/>
                <w:b/>
                <w:bCs/>
                <w:i w:val="0"/>
                <w:color w:val="000000"/>
                <w:kern w:val="0"/>
                <w:sz w:val="24"/>
                <w:szCs w:val="24"/>
                <w:u w:val="none"/>
                <w:lang w:val="en-US" w:eastAsia="zh-CN" w:bidi="ar"/>
              </w:rPr>
              <w:t>课程安排</w:t>
            </w:r>
          </w:p>
        </w:tc>
      </w:tr>
      <w:tr w14:paraId="52967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557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Day1</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25A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去程，入住酒店（接：新加坡樟宜机场）</w:t>
            </w:r>
          </w:p>
        </w:tc>
      </w:tr>
      <w:tr w14:paraId="0DD79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restart"/>
            <w:tcBorders>
              <w:top w:val="single" w:color="000000" w:sz="4" w:space="0"/>
              <w:left w:val="single" w:color="000000" w:sz="4" w:space="0"/>
              <w:right w:val="single" w:color="000000" w:sz="4" w:space="0"/>
            </w:tcBorders>
            <w:shd w:val="clear" w:color="auto" w:fill="auto"/>
            <w:vAlign w:val="center"/>
          </w:tcPr>
          <w:p w14:paraId="6F0580D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Day2</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0DC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开班仪式及课程介绍</w:t>
            </w:r>
          </w:p>
        </w:tc>
      </w:tr>
      <w:tr w14:paraId="173C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continue"/>
            <w:tcBorders>
              <w:left w:val="single" w:color="000000" w:sz="4" w:space="0"/>
              <w:right w:val="single" w:color="000000" w:sz="4" w:space="0"/>
            </w:tcBorders>
            <w:shd w:val="clear" w:color="auto" w:fill="auto"/>
            <w:vAlign w:val="center"/>
          </w:tcPr>
          <w:p w14:paraId="054EAD5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774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课程一：《Genetic forms of cancer》癌症的遗传形式</w:t>
            </w:r>
          </w:p>
        </w:tc>
      </w:tr>
      <w:tr w14:paraId="5242F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445EF178">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6D4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参访：新加坡国立大学校园</w:t>
            </w:r>
          </w:p>
        </w:tc>
      </w:tr>
      <w:tr w14:paraId="085A4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restart"/>
            <w:tcBorders>
              <w:top w:val="single" w:color="000000" w:sz="4" w:space="0"/>
              <w:left w:val="single" w:color="000000" w:sz="4" w:space="0"/>
              <w:right w:val="single" w:color="000000" w:sz="4" w:space="0"/>
            </w:tcBorders>
            <w:shd w:val="clear" w:color="auto" w:fill="auto"/>
            <w:vAlign w:val="center"/>
          </w:tcPr>
          <w:p w14:paraId="7C8BBC65">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Day3</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48E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课程二：《The latest research on cancer》关于癌症的最新研究</w:t>
            </w:r>
          </w:p>
        </w:tc>
      </w:tr>
      <w:tr w14:paraId="511EA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36106CC8">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EC7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参访：新加坡Astar癌症中心、新加坡分子和细胞生物研究所</w:t>
            </w:r>
          </w:p>
        </w:tc>
      </w:tr>
      <w:tr w14:paraId="28BA9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restart"/>
            <w:tcBorders>
              <w:top w:val="single" w:color="000000" w:sz="4" w:space="0"/>
              <w:left w:val="single" w:color="000000" w:sz="4" w:space="0"/>
              <w:right w:val="single" w:color="000000" w:sz="4" w:space="0"/>
            </w:tcBorders>
            <w:shd w:val="clear" w:color="auto" w:fill="auto"/>
            <w:vAlign w:val="center"/>
          </w:tcPr>
          <w:p w14:paraId="6FE09FF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Day4</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EF9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课程三：《Anti-tumor Immunity》抗肿瘤免疫</w:t>
            </w:r>
          </w:p>
        </w:tc>
      </w:tr>
      <w:tr w14:paraId="28DA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30" w:hRule="atLeast"/>
        </w:trPr>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7910CA7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0153">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课程四：《Main principles of Immunology and microbial infection》免疫学和微生物感染的主要原理</w:t>
            </w:r>
          </w:p>
        </w:tc>
      </w:tr>
      <w:tr w14:paraId="2148E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0" w:hRule="atLeast"/>
        </w:trPr>
        <w:tc>
          <w:tcPr>
            <w:tcW w:w="1080" w:type="dxa"/>
            <w:vMerge w:val="restart"/>
            <w:tcBorders>
              <w:top w:val="single" w:color="000000" w:sz="4" w:space="0"/>
              <w:left w:val="single" w:color="000000" w:sz="4" w:space="0"/>
              <w:right w:val="single" w:color="000000" w:sz="4" w:space="0"/>
            </w:tcBorders>
            <w:shd w:val="clear" w:color="auto" w:fill="auto"/>
            <w:vAlign w:val="center"/>
          </w:tcPr>
          <w:p w14:paraId="690EF41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Day5</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3BDE">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课程五：《Host-pathogen interaction and microbial immune evasion strategies》宿主-病原体相互作用和微生物免疫逃避策略</w:t>
            </w:r>
          </w:p>
        </w:tc>
      </w:tr>
      <w:tr w14:paraId="78C4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5EC769D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AD6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课程六：《Cancer Immunotherapy - Antibody therapy》癌症免疫治疗-抗体治疗</w:t>
            </w:r>
          </w:p>
        </w:tc>
      </w:tr>
      <w:tr w14:paraId="5F75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restart"/>
            <w:tcBorders>
              <w:top w:val="single" w:color="000000" w:sz="4" w:space="0"/>
              <w:left w:val="single" w:color="000000" w:sz="4" w:space="0"/>
              <w:right w:val="single" w:color="000000" w:sz="4" w:space="0"/>
            </w:tcBorders>
            <w:shd w:val="clear" w:color="auto" w:fill="auto"/>
            <w:vAlign w:val="center"/>
          </w:tcPr>
          <w:p w14:paraId="62BD72D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Day6</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429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小组讨论及报告演练</w:t>
            </w:r>
          </w:p>
        </w:tc>
      </w:tr>
      <w:tr w14:paraId="31BE2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6BBF5CF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97C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结业专案报告</w:t>
            </w:r>
          </w:p>
        </w:tc>
      </w:tr>
      <w:tr w14:paraId="3FEC7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F903">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Day7</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783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人文体验 推荐：圣淘沙岛、环球影城等（学生结伴并自行、自费安排）</w:t>
            </w:r>
          </w:p>
        </w:tc>
      </w:tr>
      <w:tr w14:paraId="6EF3B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ACF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Day8</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E519">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返程回国（送：新加坡樟宜机场）</w:t>
            </w:r>
          </w:p>
        </w:tc>
      </w:tr>
      <w:tr w14:paraId="1819F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737A">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A01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right"/>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sz w:val="24"/>
                <w:szCs w:val="24"/>
                <w:lang w:val="en-US" w:eastAsia="zh-CN"/>
              </w:rPr>
              <w:t>*</w:t>
            </w:r>
            <w:r>
              <w:rPr>
                <w:rFonts w:hint="eastAsia" w:ascii="黑体" w:hAnsi="黑体" w:eastAsia="黑体" w:cs="黑体"/>
                <w:sz w:val="24"/>
                <w:szCs w:val="24"/>
              </w:rPr>
              <w:t>往期项目课程安排，具体以实际为准</w:t>
            </w:r>
          </w:p>
        </w:tc>
      </w:tr>
    </w:tbl>
    <w:p w14:paraId="182D69A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p w14:paraId="72E612F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一站式服务方式</w:t>
      </w:r>
      <w:r>
        <w:rPr>
          <w:rFonts w:hint="eastAsia" w:ascii="仿宋_GB2312" w:hAnsi="仿宋_GB2312" w:eastAsia="仿宋_GB2312" w:cs="仿宋_GB2312"/>
          <w:sz w:val="28"/>
          <w:szCs w:val="28"/>
          <w:lang w:val="en-US" w:eastAsia="zh-CN"/>
        </w:rPr>
        <w:t>：项目将由经验丰富的领队全程陪同，对学生全方位的管理和陪伴。领队会确保团组的安全，并在日常学习和生活中提供必要的指导和协助。同时，项目组在出发前为每位学员购买境外险，并给予学员行前指导，确保充分了解交流期间的相关注意事项。</w:t>
      </w:r>
    </w:p>
    <w:p w14:paraId="15E09632">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住宿安排</w:t>
      </w:r>
      <w:r>
        <w:rPr>
          <w:rFonts w:hint="eastAsia" w:ascii="仿宋_GB2312" w:hAnsi="仿宋_GB2312" w:eastAsia="仿宋_GB2312" w:cs="仿宋_GB2312"/>
          <w:sz w:val="28"/>
          <w:szCs w:val="28"/>
          <w:lang w:val="en-US" w:eastAsia="zh-CN"/>
        </w:rPr>
        <w:t>：入住酒店标准双人间，按照性别分配房间，1人1床；配有独立卫浴、空调、上网设施等。</w:t>
      </w:r>
    </w:p>
    <w:p w14:paraId="5FD4F3BF">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*餐食安排</w:t>
      </w:r>
      <w:r>
        <w:rPr>
          <w:rFonts w:hint="eastAsia" w:ascii="仿宋_GB2312" w:hAnsi="仿宋_GB2312" w:eastAsia="仿宋_GB2312" w:cs="仿宋_GB2312"/>
          <w:sz w:val="28"/>
          <w:szCs w:val="28"/>
          <w:lang w:val="en-US" w:eastAsia="zh-CN"/>
        </w:rPr>
        <w:t>：三餐费用自理。早餐：一般在酒店附近用餐；午餐：在学生餐厅用餐；晚餐：一般在市区或酒店附近用餐。</w:t>
      </w:r>
    </w:p>
    <w:p w14:paraId="714551E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交通安排</w:t>
      </w:r>
      <w:r>
        <w:rPr>
          <w:rFonts w:hint="eastAsia" w:ascii="仿宋_GB2312" w:hAnsi="仿宋_GB2312" w:eastAsia="仿宋_GB2312" w:cs="仿宋_GB2312"/>
          <w:sz w:val="28"/>
          <w:szCs w:val="28"/>
          <w:lang w:val="en-US" w:eastAsia="zh-CN"/>
        </w:rPr>
        <w:t>：负责学员在参加项目行程内的交通及往返接送机服务，包括酒店往返授课地点及考察项目地点的接送服务，接送车辆为1人1座。课余时间，学员可搭乘新加坡便捷的公共交通。</w:t>
      </w:r>
    </w:p>
    <w:p w14:paraId="1BA0E06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物料配备</w:t>
      </w:r>
      <w:r>
        <w:rPr>
          <w:rFonts w:hint="eastAsia" w:ascii="仿宋_GB2312" w:hAnsi="仿宋_GB2312" w:eastAsia="仿宋_GB2312" w:cs="仿宋_GB2312"/>
          <w:sz w:val="28"/>
          <w:szCs w:val="28"/>
          <w:lang w:val="en-US" w:eastAsia="zh-CN"/>
        </w:rPr>
        <w:t>：横幅、胸牌、文具、手袋等。</w:t>
      </w:r>
    </w:p>
    <w:p w14:paraId="130212C6">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办证事宜</w:t>
      </w:r>
      <w:r>
        <w:rPr>
          <w:rFonts w:hint="eastAsia" w:ascii="仿宋_GB2312" w:hAnsi="仿宋_GB2312" w:eastAsia="仿宋_GB2312" w:cs="仿宋_GB2312"/>
          <w:sz w:val="28"/>
          <w:szCs w:val="28"/>
          <w:lang w:val="en-US" w:eastAsia="zh-CN"/>
        </w:rPr>
        <w:t>：项目组将指导学员办理护照。</w:t>
      </w:r>
    </w:p>
    <w:p w14:paraId="3C26FB5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p w14:paraId="44DD336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p w14:paraId="613D2A34">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p w14:paraId="631133C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p w14:paraId="7100F9E8">
      <w:pPr>
        <w:keepNext w:val="0"/>
        <w:keepLines w:val="0"/>
        <w:pageBreakBefore w:val="0"/>
        <w:numPr>
          <w:ilvl w:val="0"/>
          <w:numId w:val="1"/>
        </w:numPr>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香港大学：</w:t>
      </w:r>
      <w:r>
        <w:rPr>
          <w:rFonts w:hint="eastAsia" w:ascii="黑体" w:hAnsi="黑体" w:eastAsia="黑体" w:cs="黑体"/>
          <w:b/>
          <w:bCs/>
          <w:color w:val="000000"/>
          <w:spacing w:val="0"/>
          <w:sz w:val="28"/>
          <w:szCs w:val="28"/>
        </w:rPr>
        <w:t>医学与人工智能(AI)交流项目</w:t>
      </w:r>
    </w:p>
    <w:p w14:paraId="262DFE6E">
      <w:pPr>
        <w:keepNext w:val="0"/>
        <w:keepLines w:val="0"/>
        <w:pageBreakBefore w:val="0"/>
        <w:numPr>
          <w:ilvl w:val="0"/>
          <w:numId w:val="0"/>
        </w:numPr>
        <w:kinsoku/>
        <w:wordWrap/>
        <w:overflowPunct/>
        <w:topLinePunct w:val="0"/>
        <w:autoSpaceDE/>
        <w:autoSpaceDN/>
        <w:bidi w:val="0"/>
        <w:adjustRightInd/>
        <w:snapToGrid/>
        <w:spacing w:line="440" w:lineRule="exact"/>
        <w:ind w:leftChars="0" w:right="0" w:rightChars="0"/>
        <w:jc w:val="both"/>
        <w:outlineLvl w:val="9"/>
        <w:rPr>
          <w:rFonts w:hint="eastAsia" w:ascii="仿宋_GB2312" w:hAnsi="仿宋_GB2312" w:eastAsia="仿宋_GB2312" w:cs="仿宋_GB2312"/>
          <w:b/>
          <w:bCs/>
          <w:sz w:val="28"/>
          <w:szCs w:val="28"/>
          <w:lang w:val="en-US" w:eastAsia="zh-CN"/>
        </w:rPr>
      </w:pPr>
    </w:p>
    <w:p w14:paraId="5B3BE7A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项目特色</w:t>
      </w:r>
      <w:r>
        <w:rPr>
          <w:rFonts w:hint="eastAsia" w:ascii="仿宋_GB2312" w:hAnsi="仿宋_GB2312" w:eastAsia="仿宋_GB2312" w:cs="仿宋_GB2312"/>
          <w:sz w:val="28"/>
          <w:szCs w:val="28"/>
          <w:lang w:val="en-US" w:eastAsia="zh-CN"/>
        </w:rPr>
        <w:t>：本项目立足医学理论基础，聚焦AI技术在临床实践中的具体应用，系统梳理其技术路径、临床价值与发展瓶颈，深入挖掘人工智能赋能医疗的核心潜力，精准识别实际应用中的关键挑战，旨在为未来医学研究方向的探索与临床诊疗模式的优化提供兼具前瞻性与实用性的决策参考。</w:t>
      </w:r>
    </w:p>
    <w:p w14:paraId="296D8510">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项目时间</w:t>
      </w:r>
      <w:r>
        <w:rPr>
          <w:rFonts w:hint="eastAsia" w:ascii="仿宋_GB2312" w:hAnsi="仿宋_GB2312" w:eastAsia="仿宋_GB2312" w:cs="仿宋_GB2312"/>
          <w:sz w:val="28"/>
          <w:szCs w:val="28"/>
          <w:lang w:val="en-US" w:eastAsia="zh-CN"/>
        </w:rPr>
        <w:t>：2027年1月18-24日，为期7天</w:t>
      </w:r>
    </w:p>
    <w:p w14:paraId="32471CD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项目人数</w:t>
      </w:r>
      <w:r>
        <w:rPr>
          <w:rFonts w:hint="eastAsia" w:ascii="仿宋_GB2312" w:hAnsi="仿宋_GB2312" w:eastAsia="仿宋_GB2312" w:cs="仿宋_GB2312"/>
          <w:sz w:val="28"/>
          <w:szCs w:val="28"/>
          <w:lang w:val="en-US" w:eastAsia="zh-CN"/>
        </w:rPr>
        <w:t>：不超过50人</w:t>
      </w:r>
    </w:p>
    <w:p w14:paraId="494FB26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授课地点</w:t>
      </w:r>
      <w:r>
        <w:rPr>
          <w:rFonts w:hint="eastAsia" w:ascii="仿宋_GB2312" w:hAnsi="仿宋_GB2312" w:eastAsia="仿宋_GB2312" w:cs="仿宋_GB2312"/>
          <w:sz w:val="28"/>
          <w:szCs w:val="28"/>
          <w:lang w:val="en-US" w:eastAsia="zh-CN"/>
        </w:rPr>
        <w:t>：香港大学</w:t>
      </w:r>
    </w:p>
    <w:p w14:paraId="2177221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授课语言</w:t>
      </w:r>
      <w:r>
        <w:rPr>
          <w:rFonts w:hint="eastAsia" w:ascii="仿宋_GB2312" w:hAnsi="仿宋_GB2312" w:eastAsia="仿宋_GB2312" w:cs="仿宋_GB2312"/>
          <w:sz w:val="28"/>
          <w:szCs w:val="28"/>
          <w:lang w:val="en-US" w:eastAsia="zh-CN"/>
        </w:rPr>
        <w:t>：英语</w:t>
      </w:r>
    </w:p>
    <w:p w14:paraId="72E2E874">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报名条件</w:t>
      </w:r>
      <w:r>
        <w:rPr>
          <w:rFonts w:hint="eastAsia" w:ascii="仿宋_GB2312" w:hAnsi="仿宋_GB2312" w:eastAsia="仿宋_GB2312" w:cs="仿宋_GB2312"/>
          <w:sz w:val="28"/>
          <w:szCs w:val="28"/>
          <w:lang w:val="en-US" w:eastAsia="zh-CN"/>
        </w:rPr>
        <w:t>：相关专业全日制在读本科生、研究生；思想政治品德良好，身心健康，遵纪守法，在校期间未受过纪律处分。</w:t>
      </w:r>
    </w:p>
    <w:p w14:paraId="15D2AD80">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项目费用</w:t>
      </w:r>
      <w:r>
        <w:rPr>
          <w:rFonts w:hint="eastAsia" w:ascii="仿宋_GB2312" w:hAnsi="仿宋_GB2312" w:eastAsia="仿宋_GB2312" w:cs="仿宋_GB2312"/>
          <w:sz w:val="28"/>
          <w:szCs w:val="28"/>
          <w:lang w:val="en-US" w:eastAsia="zh-CN"/>
        </w:rPr>
        <w:t>：11,000元人民币/人，费用包含：讲师课酬费、医疗机构参观费、行政管理费，交通费（课程学习机构参观部分）、住宿费（星级酒店标准双人间）、接送费、境外保险费等。自行承担费用：往返香港交通费、餐饮费、港澳通行证办理及签注费、行程外费用等。</w:t>
      </w:r>
    </w:p>
    <w:p w14:paraId="5EB0B7F1">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项目证书</w:t>
      </w:r>
      <w:r>
        <w:rPr>
          <w:rFonts w:hint="eastAsia" w:ascii="仿宋_GB2312" w:hAnsi="仿宋_GB2312" w:eastAsia="仿宋_GB2312" w:cs="仿宋_GB2312"/>
          <w:sz w:val="28"/>
          <w:szCs w:val="28"/>
          <w:lang w:val="en-US" w:eastAsia="zh-CN"/>
        </w:rPr>
        <w:t>：由香港大学颁发项目结业证书。</w:t>
      </w:r>
    </w:p>
    <w:tbl>
      <w:tblPr>
        <w:tblStyle w:val="4"/>
        <w:tblW w:w="82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80"/>
        <w:gridCol w:w="7146"/>
      </w:tblGrid>
      <w:tr w14:paraId="797E1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478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bCs/>
                <w:i w:val="0"/>
                <w:color w:val="47494B"/>
                <w:sz w:val="24"/>
                <w:szCs w:val="24"/>
                <w:u w:val="none"/>
              </w:rPr>
            </w:pPr>
            <w:r>
              <w:rPr>
                <w:rFonts w:hint="eastAsia" w:ascii="楷体_GB2312" w:hAnsi="楷体_GB2312" w:eastAsia="楷体_GB2312" w:cs="楷体_GB2312"/>
                <w:b/>
                <w:bCs/>
                <w:i w:val="0"/>
                <w:color w:val="47494B"/>
                <w:kern w:val="0"/>
                <w:sz w:val="24"/>
                <w:szCs w:val="24"/>
                <w:u w:val="none"/>
                <w:lang w:val="en-US" w:eastAsia="zh-CN" w:bidi="ar"/>
              </w:rPr>
              <w:t>时间</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BE7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bCs/>
                <w:i w:val="0"/>
                <w:color w:val="47494B"/>
                <w:sz w:val="24"/>
                <w:szCs w:val="24"/>
                <w:u w:val="none"/>
              </w:rPr>
            </w:pPr>
            <w:r>
              <w:rPr>
                <w:rFonts w:hint="eastAsia" w:ascii="楷体_GB2312" w:hAnsi="楷体_GB2312" w:eastAsia="楷体_GB2312" w:cs="楷体_GB2312"/>
                <w:b/>
                <w:bCs/>
                <w:i w:val="0"/>
                <w:color w:val="47494B"/>
                <w:kern w:val="0"/>
                <w:sz w:val="24"/>
                <w:szCs w:val="24"/>
                <w:u w:val="none"/>
                <w:lang w:val="en-US" w:eastAsia="zh-CN" w:bidi="ar"/>
              </w:rPr>
              <w:t>课程安排</w:t>
            </w:r>
          </w:p>
        </w:tc>
      </w:tr>
      <w:tr w14:paraId="4AC57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4DA5">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Day1</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F11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去程，抵港，入住酒店（接：香港机场、香港西九龙）</w:t>
            </w:r>
          </w:p>
        </w:tc>
      </w:tr>
      <w:tr w14:paraId="40EC7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F616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Day2</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A04F">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开班仪式及课程介绍</w:t>
            </w:r>
          </w:p>
        </w:tc>
      </w:tr>
      <w:tr w14:paraId="58949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20899">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outlineLvl w:val="9"/>
              <w:rPr>
                <w:rFonts w:hint="eastAsia" w:ascii="楷体_GB2312" w:hAnsi="楷体_GB2312" w:eastAsia="楷体_GB2312" w:cs="楷体_GB2312"/>
                <w:b w:val="0"/>
                <w:bCs w:val="0"/>
                <w:i w:val="0"/>
                <w:color w:val="47494B"/>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7A40">
            <w:pPr>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bCs/>
                <w:sz w:val="24"/>
                <w:szCs w:val="24"/>
              </w:rPr>
              <w:t>课程一：</w:t>
            </w:r>
            <w:r>
              <w:rPr>
                <w:rFonts w:hint="eastAsia" w:ascii="楷体_GB2312" w:hAnsi="楷体_GB2312" w:eastAsia="楷体_GB2312" w:cs="楷体_GB2312"/>
                <w:sz w:val="24"/>
                <w:szCs w:val="24"/>
              </w:rPr>
              <w:t>《香港医疗一览：香港医院、社区和家庭医疗》</w:t>
            </w:r>
          </w:p>
        </w:tc>
      </w:tr>
      <w:tr w14:paraId="537D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B8107">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outlineLvl w:val="9"/>
              <w:rPr>
                <w:rFonts w:hint="eastAsia" w:ascii="楷体_GB2312" w:hAnsi="楷体_GB2312" w:eastAsia="楷体_GB2312" w:cs="楷体_GB2312"/>
                <w:b w:val="0"/>
                <w:bCs w:val="0"/>
                <w:i w:val="0"/>
                <w:color w:val="47494B"/>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FEB0">
            <w:pPr>
              <w:rPr>
                <w:rFonts w:hint="eastAsia" w:ascii="楷体_GB2312" w:hAnsi="楷体_GB2312" w:eastAsia="楷体_GB2312" w:cs="楷体_GB2312"/>
                <w:b w:val="0"/>
                <w:bCs w:val="0"/>
                <w:i w:val="0"/>
                <w:color w:val="47494B"/>
                <w:kern w:val="0"/>
                <w:sz w:val="24"/>
                <w:szCs w:val="24"/>
                <w:u w:val="none"/>
                <w:lang w:val="en-US" w:eastAsia="zh-CN" w:bidi="ar"/>
              </w:rPr>
            </w:pPr>
            <w:r>
              <w:rPr>
                <w:rFonts w:hint="eastAsia" w:ascii="楷体_GB2312" w:hAnsi="楷体_GB2312" w:eastAsia="楷体_GB2312" w:cs="楷体_GB2312"/>
                <w:b/>
                <w:bCs/>
                <w:sz w:val="24"/>
                <w:szCs w:val="24"/>
              </w:rPr>
              <w:t>课程二：</w:t>
            </w:r>
            <w:r>
              <w:rPr>
                <w:rFonts w:hint="eastAsia" w:ascii="楷体_GB2312" w:hAnsi="楷体_GB2312" w:eastAsia="楷体_GB2312" w:cs="楷体_GB2312"/>
                <w:sz w:val="24"/>
                <w:szCs w:val="24"/>
              </w:rPr>
              <w:t>《生命科学与医疗行业未来机遇与挑战》</w:t>
            </w:r>
          </w:p>
        </w:tc>
      </w:tr>
      <w:tr w14:paraId="3601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2E84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Day3</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3DA1">
            <w:pPr>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bCs/>
                <w:sz w:val="24"/>
                <w:szCs w:val="24"/>
              </w:rPr>
              <w:t>课程三：</w:t>
            </w:r>
            <w:r>
              <w:rPr>
                <w:rFonts w:hint="eastAsia" w:ascii="楷体_GB2312" w:hAnsi="楷体_GB2312" w:eastAsia="楷体_GB2312" w:cs="楷体_GB2312"/>
                <w:sz w:val="24"/>
                <w:szCs w:val="24"/>
              </w:rPr>
              <w:t>《医学AI简介》《人工智能（AI）与医学前沿进展》</w:t>
            </w:r>
          </w:p>
        </w:tc>
      </w:tr>
      <w:tr w14:paraId="65309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3C0E">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outlineLvl w:val="9"/>
              <w:rPr>
                <w:rFonts w:hint="eastAsia" w:ascii="楷体_GB2312" w:hAnsi="楷体_GB2312" w:eastAsia="楷体_GB2312" w:cs="楷体_GB2312"/>
                <w:b w:val="0"/>
                <w:bCs w:val="0"/>
                <w:i w:val="0"/>
                <w:color w:val="47494B"/>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3A32">
            <w:pPr>
              <w:jc w:val="left"/>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参访：香港医学博物馆</w:t>
            </w:r>
          </w:p>
        </w:tc>
      </w:tr>
      <w:tr w14:paraId="61691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EB79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Day4</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7490">
            <w:pPr>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bCs/>
                <w:sz w:val="24"/>
                <w:szCs w:val="24"/>
              </w:rPr>
              <w:t>课程四：</w:t>
            </w:r>
            <w:r>
              <w:rPr>
                <w:rFonts w:hint="eastAsia" w:ascii="楷体_GB2312" w:hAnsi="楷体_GB2312" w:eastAsia="楷体_GB2312" w:cs="楷体_GB2312"/>
                <w:sz w:val="24"/>
                <w:szCs w:val="24"/>
              </w:rPr>
              <w:t>《癌症前沿治疗与中西方协作现况》</w:t>
            </w:r>
          </w:p>
        </w:tc>
      </w:tr>
      <w:tr w14:paraId="4B1B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3D693">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outlineLvl w:val="9"/>
              <w:rPr>
                <w:rFonts w:hint="eastAsia" w:ascii="楷体_GB2312" w:hAnsi="楷体_GB2312" w:eastAsia="楷体_GB2312" w:cs="楷体_GB2312"/>
                <w:b w:val="0"/>
                <w:bCs w:val="0"/>
                <w:i w:val="0"/>
                <w:color w:val="47494B"/>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95F8">
            <w:pPr>
              <w:jc w:val="left"/>
              <w:rPr>
                <w:rFonts w:hint="eastAsia" w:ascii="楷体_GB2312" w:hAnsi="楷体_GB2312" w:eastAsia="楷体_GB2312" w:cs="楷体_GB2312"/>
                <w:b w:val="0"/>
                <w:bCs w:val="0"/>
                <w:i w:val="0"/>
                <w:color w:val="47494B"/>
                <w:sz w:val="24"/>
                <w:szCs w:val="24"/>
                <w:u w:val="none"/>
                <w:lang w:val="en-US" w:eastAsia="zh-CN"/>
              </w:rPr>
            </w:pPr>
            <w:r>
              <w:rPr>
                <w:rFonts w:hint="eastAsia" w:ascii="楷体_GB2312" w:hAnsi="楷体_GB2312" w:eastAsia="楷体_GB2312" w:cs="楷体_GB2312"/>
                <w:b w:val="0"/>
                <w:bCs w:val="0"/>
                <w:i w:val="0"/>
                <w:color w:val="47494B"/>
                <w:sz w:val="24"/>
                <w:szCs w:val="24"/>
                <w:u w:val="none"/>
                <w:lang w:val="en-US" w:eastAsia="zh-CN"/>
              </w:rPr>
              <w:t>小组讨论</w:t>
            </w:r>
          </w:p>
        </w:tc>
      </w:tr>
      <w:tr w14:paraId="021F0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F0799">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Day5</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CA49">
            <w:pPr>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bCs/>
                <w:sz w:val="24"/>
                <w:szCs w:val="24"/>
              </w:rPr>
              <w:t>课程五：</w:t>
            </w:r>
            <w:r>
              <w:rPr>
                <w:rFonts w:hint="eastAsia" w:ascii="楷体_GB2312" w:hAnsi="楷体_GB2312" w:eastAsia="楷体_GB2312" w:cs="楷体_GB2312"/>
                <w:sz w:val="24"/>
                <w:szCs w:val="24"/>
              </w:rPr>
              <w:t>《医学数据挖掘与人工智能（AI）》</w:t>
            </w:r>
          </w:p>
        </w:tc>
      </w:tr>
      <w:tr w14:paraId="79BC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22852">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outlineLvl w:val="9"/>
              <w:rPr>
                <w:rFonts w:hint="eastAsia" w:ascii="楷体_GB2312" w:hAnsi="楷体_GB2312" w:eastAsia="楷体_GB2312" w:cs="楷体_GB2312"/>
                <w:b w:val="0"/>
                <w:bCs w:val="0"/>
                <w:i w:val="0"/>
                <w:color w:val="47494B"/>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CD5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楷体_GB2312" w:hAnsi="楷体_GB2312" w:eastAsia="楷体_GB2312" w:cs="楷体_GB2312"/>
                <w:b w:val="0"/>
                <w:bCs w:val="0"/>
                <w:i w:val="0"/>
                <w:color w:val="47494B"/>
                <w:sz w:val="24"/>
                <w:szCs w:val="24"/>
                <w:u w:val="none"/>
                <w:lang w:val="en-US" w:eastAsia="zh-CN"/>
              </w:rPr>
            </w:pPr>
            <w:r>
              <w:rPr>
                <w:rFonts w:hint="eastAsia" w:ascii="楷体_GB2312" w:hAnsi="楷体_GB2312" w:eastAsia="楷体_GB2312" w:cs="楷体_GB2312"/>
                <w:b w:val="0"/>
                <w:bCs w:val="0"/>
                <w:i w:val="0"/>
                <w:color w:val="47494B"/>
                <w:sz w:val="24"/>
                <w:szCs w:val="24"/>
                <w:u w:val="none"/>
                <w:lang w:val="en-US" w:eastAsia="zh-CN"/>
              </w:rPr>
              <w:t>小组讨论</w:t>
            </w:r>
          </w:p>
        </w:tc>
      </w:tr>
      <w:tr w14:paraId="55CC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1BF2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Day6</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AF6A">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结业专案报告</w:t>
            </w:r>
          </w:p>
        </w:tc>
      </w:tr>
      <w:tr w14:paraId="42266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D2AEE">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outlineLvl w:val="9"/>
              <w:rPr>
                <w:rFonts w:hint="eastAsia" w:ascii="楷体_GB2312" w:hAnsi="楷体_GB2312" w:eastAsia="楷体_GB2312" w:cs="楷体_GB2312"/>
                <w:b w:val="0"/>
                <w:bCs w:val="0"/>
                <w:i w:val="0"/>
                <w:color w:val="47494B"/>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F4D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文化生活体验</w:t>
            </w:r>
          </w:p>
        </w:tc>
      </w:tr>
      <w:tr w14:paraId="72B86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4BB9">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Day7</w:t>
            </w: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0EE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离港返程（送：香港机场、香港西九龙）</w:t>
            </w:r>
          </w:p>
        </w:tc>
      </w:tr>
      <w:tr w14:paraId="37581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exac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1FE6">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outlineLvl w:val="9"/>
              <w:rPr>
                <w:rFonts w:hint="eastAsia" w:ascii="楷体_GB2312" w:hAnsi="楷体_GB2312" w:eastAsia="楷体_GB2312" w:cs="楷体_GB2312"/>
                <w:b w:val="0"/>
                <w:bCs w:val="0"/>
                <w:i w:val="0"/>
                <w:color w:val="000000"/>
                <w:sz w:val="24"/>
                <w:szCs w:val="24"/>
                <w:u w:val="none"/>
              </w:rPr>
            </w:pPr>
          </w:p>
        </w:tc>
        <w:tc>
          <w:tcPr>
            <w:tcW w:w="7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2A1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right"/>
              <w:textAlignment w:val="center"/>
              <w:outlineLvl w:val="9"/>
              <w:rPr>
                <w:rFonts w:hint="eastAsia" w:ascii="楷体_GB2312" w:hAnsi="楷体_GB2312" w:eastAsia="楷体_GB2312" w:cs="楷体_GB2312"/>
                <w:b w:val="0"/>
                <w:bCs w:val="0"/>
                <w:i w:val="0"/>
                <w:color w:val="47494B"/>
                <w:sz w:val="24"/>
                <w:szCs w:val="24"/>
                <w:u w:val="none"/>
              </w:rPr>
            </w:pPr>
            <w:r>
              <w:rPr>
                <w:rFonts w:hint="eastAsia" w:ascii="楷体_GB2312" w:hAnsi="楷体_GB2312" w:eastAsia="楷体_GB2312" w:cs="楷体_GB2312"/>
                <w:b w:val="0"/>
                <w:bCs w:val="0"/>
                <w:i w:val="0"/>
                <w:color w:val="47494B"/>
                <w:kern w:val="0"/>
                <w:sz w:val="24"/>
                <w:szCs w:val="24"/>
                <w:u w:val="none"/>
                <w:lang w:val="en-US" w:eastAsia="zh-CN" w:bidi="ar"/>
              </w:rPr>
              <w:t>*往期项目课程安排，具体以实际为准</w:t>
            </w:r>
          </w:p>
        </w:tc>
      </w:tr>
    </w:tbl>
    <w:p w14:paraId="309813E9">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1A5C6222">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一站式服务方式</w:t>
      </w:r>
      <w:r>
        <w:rPr>
          <w:rFonts w:hint="eastAsia" w:ascii="仿宋_GB2312" w:hAnsi="仿宋_GB2312" w:eastAsia="仿宋_GB2312" w:cs="仿宋_GB2312"/>
          <w:sz w:val="28"/>
          <w:szCs w:val="28"/>
          <w:lang w:val="en-US" w:eastAsia="zh-CN"/>
        </w:rPr>
        <w:t>：项目将由经验丰富的领队全程陪同，对学生全方位的管理和陪伴。领队会确保团组的安全，并在日常学习和生活中提供必要的指导和协助。同时，项目组在出发前为每位学员购买境外险，并给予学员行前指导，确保充分了解交流期间的相关注意事项。</w:t>
      </w:r>
    </w:p>
    <w:p w14:paraId="27C94A6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住宿安排</w:t>
      </w:r>
      <w:r>
        <w:rPr>
          <w:rFonts w:hint="eastAsia" w:ascii="仿宋_GB2312" w:hAnsi="仿宋_GB2312" w:eastAsia="仿宋_GB2312" w:cs="仿宋_GB2312"/>
          <w:sz w:val="28"/>
          <w:szCs w:val="28"/>
          <w:lang w:val="en-US" w:eastAsia="zh-CN"/>
        </w:rPr>
        <w:t>：入住酒店标准双人间，按照性别分配房间，1人1床；配有独立卫浴、空调、上网设施等。</w:t>
      </w:r>
    </w:p>
    <w:p w14:paraId="63ABF73F">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餐食安排</w:t>
      </w:r>
      <w:r>
        <w:rPr>
          <w:rFonts w:hint="eastAsia" w:ascii="仿宋_GB2312" w:hAnsi="仿宋_GB2312" w:eastAsia="仿宋_GB2312" w:cs="仿宋_GB2312"/>
          <w:sz w:val="28"/>
          <w:szCs w:val="28"/>
          <w:lang w:val="en-US" w:eastAsia="zh-CN"/>
        </w:rPr>
        <w:t>：三餐费用自理。早餐：一般在酒店附近或香港大学学生餐厅用餐；午餐：在香港大学学生餐厅用餐；晚餐：一般在市区或酒店附近用餐。</w:t>
      </w:r>
    </w:p>
    <w:p w14:paraId="0A170479">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交通安排</w:t>
      </w:r>
      <w:r>
        <w:rPr>
          <w:rFonts w:hint="eastAsia" w:ascii="仿宋_GB2312" w:hAnsi="仿宋_GB2312" w:eastAsia="仿宋_GB2312" w:cs="仿宋_GB2312"/>
          <w:sz w:val="28"/>
          <w:szCs w:val="28"/>
          <w:lang w:val="en-US" w:eastAsia="zh-CN"/>
        </w:rPr>
        <w:t>：安排香港机场和香港西九龙的往返酒店的接机和送机，课程及参访均会安排大巴接送。课余时间，学员可搭乘香港便捷的公共交通。</w:t>
      </w:r>
    </w:p>
    <w:p w14:paraId="7AB60D3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物料配备</w:t>
      </w:r>
      <w:r>
        <w:rPr>
          <w:rFonts w:hint="eastAsia" w:ascii="仿宋_GB2312" w:hAnsi="仿宋_GB2312" w:eastAsia="仿宋_GB2312" w:cs="仿宋_GB2312"/>
          <w:sz w:val="28"/>
          <w:szCs w:val="28"/>
          <w:lang w:val="en-US" w:eastAsia="zh-CN"/>
        </w:rPr>
        <w:t>：横幅、胸牌、文具、手袋等。</w:t>
      </w:r>
    </w:p>
    <w:p w14:paraId="1501F2F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办证事宜</w:t>
      </w:r>
      <w:r>
        <w:rPr>
          <w:rFonts w:hint="eastAsia" w:ascii="仿宋_GB2312" w:hAnsi="仿宋_GB2312" w:eastAsia="仿宋_GB2312" w:cs="仿宋_GB2312"/>
          <w:sz w:val="28"/>
          <w:szCs w:val="28"/>
          <w:lang w:val="en-US" w:eastAsia="zh-CN"/>
        </w:rPr>
        <w:t>：项目组将指导学员办理港澳通行证及签注。</w:t>
      </w:r>
    </w:p>
    <w:p w14:paraId="362F8B2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125089C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186B9E1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75103B44">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5029EEB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310FF87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2AF67D6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088B03C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77DC7F17">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0E682B4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6E92E65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120A5B0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59458316">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rPr>
      </w:pPr>
    </w:p>
    <w:p w14:paraId="0E91EB30">
      <w:pPr>
        <w:keepNext w:val="0"/>
        <w:keepLines w:val="0"/>
        <w:pageBreakBefore w:val="0"/>
        <w:numPr>
          <w:ilvl w:val="0"/>
          <w:numId w:val="1"/>
        </w:numPr>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香港大学：口腔专业医学生赴港访学交流项目</w:t>
      </w:r>
    </w:p>
    <w:p w14:paraId="3D55DE95">
      <w:pPr>
        <w:keepNext w:val="0"/>
        <w:keepLines w:val="0"/>
        <w:pageBreakBefore w:val="0"/>
        <w:numPr>
          <w:ilvl w:val="0"/>
          <w:numId w:val="0"/>
        </w:numPr>
        <w:kinsoku/>
        <w:wordWrap/>
        <w:overflowPunct/>
        <w:topLinePunct w:val="0"/>
        <w:autoSpaceDE/>
        <w:autoSpaceDN/>
        <w:bidi w:val="0"/>
        <w:adjustRightInd/>
        <w:snapToGrid/>
        <w:spacing w:line="440" w:lineRule="exact"/>
        <w:ind w:leftChars="0" w:right="0" w:rightChars="0"/>
        <w:jc w:val="both"/>
        <w:outlineLvl w:val="9"/>
        <w:rPr>
          <w:rFonts w:hint="eastAsia" w:ascii="仿宋_GB2312" w:hAnsi="仿宋_GB2312" w:eastAsia="仿宋_GB2312" w:cs="仿宋_GB2312"/>
          <w:b/>
          <w:bCs/>
          <w:sz w:val="28"/>
          <w:szCs w:val="28"/>
          <w:lang w:val="en-US" w:eastAsia="zh-CN"/>
        </w:rPr>
      </w:pPr>
    </w:p>
    <w:p w14:paraId="74ABC46F">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项目特色</w:t>
      </w:r>
      <w:r>
        <w:rPr>
          <w:rFonts w:hint="eastAsia" w:ascii="仿宋_GB2312" w:hAnsi="仿宋_GB2312" w:eastAsia="仿宋_GB2312" w:cs="仿宋_GB2312"/>
          <w:sz w:val="28"/>
          <w:szCs w:val="28"/>
          <w:lang w:val="en-US" w:eastAsia="zh-CN"/>
        </w:rPr>
        <w:t>：本项目面向口腔专业医学生精准定制，课程以口腔临床核心能力为基底，系统延伸覆盖口腔生物材料特性与临床选择、数字化固定与活动修复全流程、3D打印在口腔种植与义齿制作中的实操应用、人工智能口腔辅助诊断与正畸设计、口腔美学修复色彩管理五大前沿交叉板块。学员既能完成核心牙科专业知识的体系化升级，又能建立"口腔临床+数字技术+材料创新"的跨学科认知框架，彻底打破传统口腔医学的能力边界，为后续临床技术创新、前沿科研选题、高端口腔赛道职业发展，拓展出更多差异化的可能性。</w:t>
      </w:r>
    </w:p>
    <w:p w14:paraId="3B462500">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项目时间</w:t>
      </w:r>
      <w:r>
        <w:rPr>
          <w:rFonts w:hint="eastAsia" w:ascii="仿宋_GB2312" w:hAnsi="仿宋_GB2312" w:eastAsia="仿宋_GB2312" w:cs="仿宋_GB2312"/>
          <w:sz w:val="28"/>
          <w:szCs w:val="28"/>
          <w:lang w:val="en-US" w:eastAsia="zh-CN"/>
        </w:rPr>
        <w:t>：2027年1月24-30日，为期8天</w:t>
      </w:r>
    </w:p>
    <w:p w14:paraId="575AC26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项目人数</w:t>
      </w:r>
      <w:r>
        <w:rPr>
          <w:rFonts w:hint="eastAsia" w:ascii="仿宋_GB2312" w:hAnsi="仿宋_GB2312" w:eastAsia="仿宋_GB2312" w:cs="仿宋_GB2312"/>
          <w:sz w:val="28"/>
          <w:szCs w:val="28"/>
          <w:lang w:val="en-US" w:eastAsia="zh-CN"/>
        </w:rPr>
        <w:t>：不超过50人</w:t>
      </w:r>
    </w:p>
    <w:p w14:paraId="7B90916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授课地点</w:t>
      </w:r>
      <w:r>
        <w:rPr>
          <w:rFonts w:hint="eastAsia" w:ascii="仿宋_GB2312" w:hAnsi="仿宋_GB2312" w:eastAsia="仿宋_GB2312" w:cs="仿宋_GB2312"/>
          <w:sz w:val="28"/>
          <w:szCs w:val="28"/>
          <w:lang w:val="en-US" w:eastAsia="zh-CN"/>
        </w:rPr>
        <w:t>：香港大学牙医学院</w:t>
      </w:r>
    </w:p>
    <w:p w14:paraId="46EACDBF">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授课语言</w:t>
      </w:r>
      <w:r>
        <w:rPr>
          <w:rFonts w:hint="eastAsia" w:ascii="仿宋_GB2312" w:hAnsi="仿宋_GB2312" w:eastAsia="仿宋_GB2312" w:cs="仿宋_GB2312"/>
          <w:sz w:val="28"/>
          <w:szCs w:val="28"/>
          <w:lang w:val="en-US" w:eastAsia="zh-CN"/>
        </w:rPr>
        <w:t>：英语</w:t>
      </w:r>
    </w:p>
    <w:p w14:paraId="122ED94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报名条件</w:t>
      </w:r>
      <w:r>
        <w:rPr>
          <w:rFonts w:hint="eastAsia" w:ascii="仿宋_GB2312" w:hAnsi="仿宋_GB2312" w:eastAsia="仿宋_GB2312" w:cs="仿宋_GB2312"/>
          <w:sz w:val="28"/>
          <w:szCs w:val="28"/>
          <w:lang w:val="en-US" w:eastAsia="zh-CN"/>
        </w:rPr>
        <w:t>：口腔医学专业全日制在读本科生、研究生；思想政治品德良好，遵纪守法，在校期间未受过纪律处分，身心健康。</w:t>
      </w:r>
    </w:p>
    <w:p w14:paraId="037FF5B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项目费用</w:t>
      </w:r>
      <w:r>
        <w:rPr>
          <w:rFonts w:hint="eastAsia" w:ascii="仿宋_GB2312" w:hAnsi="仿宋_GB2312" w:eastAsia="仿宋_GB2312" w:cs="仿宋_GB2312"/>
          <w:sz w:val="28"/>
          <w:szCs w:val="28"/>
          <w:lang w:val="en-US" w:eastAsia="zh-CN"/>
        </w:rPr>
        <w:t>：8,800元人民币/人，费用包含：讲师课酬费、医疗机构参观费、行政管理费，交通费（课程学习机构参观部分）、住宿费（星级酒店标准双人间）、接送费、境外保险费等。自行承担费用：往返香港交通费、餐饮费、港澳通行证办理及签注费、行程外费用等。</w:t>
      </w:r>
    </w:p>
    <w:p w14:paraId="1E6C316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项目证书</w:t>
      </w:r>
      <w:r>
        <w:rPr>
          <w:rFonts w:hint="eastAsia" w:ascii="仿宋_GB2312" w:hAnsi="仿宋_GB2312" w:eastAsia="仿宋_GB2312" w:cs="仿宋_GB2312"/>
          <w:sz w:val="28"/>
          <w:szCs w:val="28"/>
          <w:lang w:val="en-US" w:eastAsia="zh-CN"/>
        </w:rPr>
        <w:t>：由香港大学牙医学院颁发项目结业证书。</w:t>
      </w:r>
    </w:p>
    <w:tbl>
      <w:tblPr>
        <w:tblStyle w:val="4"/>
        <w:tblW w:w="8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92"/>
        <w:gridCol w:w="7461"/>
      </w:tblGrid>
      <w:tr w14:paraId="77E9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92" w:type="dxa"/>
            <w:shd w:val="clear" w:color="auto" w:fill="auto"/>
            <w:tcMar>
              <w:top w:w="80" w:type="dxa"/>
              <w:left w:w="80" w:type="dxa"/>
              <w:bottom w:w="80" w:type="dxa"/>
              <w:right w:w="80" w:type="dxa"/>
            </w:tcMar>
            <w:vAlign w:val="center"/>
          </w:tcPr>
          <w:p w14:paraId="667190A9">
            <w:pPr>
              <w:pStyle w:val="10"/>
              <w:jc w:val="center"/>
              <w:rPr>
                <w:rFonts w:hint="eastAsia" w:ascii="楷体_GB2312" w:hAnsi="楷体_GB2312" w:eastAsia="楷体_GB2312" w:cs="楷体_GB2312"/>
                <w:b/>
                <w:bCs/>
                <w:i w:val="0"/>
                <w:color w:val="auto"/>
                <w:sz w:val="24"/>
                <w:szCs w:val="24"/>
                <w:highlight w:val="none"/>
                <w:shd w:val="clear" w:color="auto" w:fill="auto"/>
                <w:lang w:val="zh-TW" w:eastAsia="zh-TW"/>
              </w:rPr>
            </w:pPr>
            <w:r>
              <w:rPr>
                <w:rFonts w:hint="eastAsia" w:ascii="楷体_GB2312" w:hAnsi="楷体_GB2312" w:eastAsia="楷体_GB2312" w:cs="楷体_GB2312"/>
                <w:b/>
                <w:bCs/>
                <w:i w:val="0"/>
                <w:color w:val="auto"/>
                <w:sz w:val="24"/>
                <w:szCs w:val="24"/>
                <w:highlight w:val="none"/>
                <w:shd w:val="clear" w:color="auto" w:fill="auto"/>
                <w:lang w:val="zh-TW" w:eastAsia="zh-TW"/>
              </w:rPr>
              <w:t>时间</w:t>
            </w:r>
          </w:p>
        </w:tc>
        <w:tc>
          <w:tcPr>
            <w:tcW w:w="7461" w:type="dxa"/>
            <w:shd w:val="clear" w:color="auto" w:fill="auto"/>
            <w:tcMar>
              <w:top w:w="80" w:type="dxa"/>
              <w:left w:w="80" w:type="dxa"/>
              <w:bottom w:w="80" w:type="dxa"/>
              <w:right w:w="80" w:type="dxa"/>
            </w:tcMar>
            <w:vAlign w:val="center"/>
          </w:tcPr>
          <w:p w14:paraId="38351157">
            <w:pPr>
              <w:pStyle w:val="10"/>
              <w:jc w:val="center"/>
              <w:rPr>
                <w:rFonts w:hint="eastAsia" w:ascii="楷体_GB2312" w:hAnsi="楷体_GB2312" w:eastAsia="楷体_GB2312" w:cs="楷体_GB2312"/>
                <w:b/>
                <w:bCs/>
                <w:i w:val="0"/>
                <w:color w:val="auto"/>
                <w:sz w:val="24"/>
                <w:szCs w:val="24"/>
                <w:highlight w:val="none"/>
                <w:shd w:val="clear" w:color="auto" w:fill="auto"/>
                <w:lang w:val="zh-TW"/>
              </w:rPr>
            </w:pPr>
            <w:r>
              <w:rPr>
                <w:rFonts w:hint="eastAsia" w:ascii="楷体_GB2312" w:hAnsi="楷体_GB2312" w:eastAsia="楷体_GB2312" w:cs="楷体_GB2312"/>
                <w:b/>
                <w:bCs/>
                <w:i w:val="0"/>
                <w:color w:val="auto"/>
                <w:sz w:val="24"/>
                <w:szCs w:val="24"/>
                <w:highlight w:val="none"/>
                <w:shd w:val="clear" w:color="auto" w:fill="auto"/>
                <w:lang w:val="zh-TW"/>
              </w:rPr>
              <w:t>课程安排</w:t>
            </w:r>
          </w:p>
        </w:tc>
      </w:tr>
      <w:tr w14:paraId="6AED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2" w:type="dxa"/>
            <w:shd w:val="clear" w:color="auto" w:fill="auto"/>
            <w:tcMar>
              <w:top w:w="80" w:type="dxa"/>
              <w:left w:w="80" w:type="dxa"/>
              <w:bottom w:w="80" w:type="dxa"/>
              <w:right w:w="80" w:type="dxa"/>
            </w:tcMar>
            <w:vAlign w:val="center"/>
          </w:tcPr>
          <w:p w14:paraId="571F091E">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eastAsia="zh-TW"/>
              </w:rPr>
              <w:t>Day1</w:t>
            </w:r>
          </w:p>
        </w:tc>
        <w:tc>
          <w:tcPr>
            <w:tcW w:w="7461" w:type="dxa"/>
            <w:shd w:val="clear" w:color="auto" w:fill="auto"/>
            <w:tcMar>
              <w:top w:w="80" w:type="dxa"/>
              <w:left w:w="80" w:type="dxa"/>
              <w:bottom w:w="80" w:type="dxa"/>
              <w:right w:w="80" w:type="dxa"/>
            </w:tcMar>
            <w:vAlign w:val="center"/>
          </w:tcPr>
          <w:p w14:paraId="3E471AC1">
            <w:pPr>
              <w:pStyle w:val="10"/>
              <w:rPr>
                <w:rFonts w:hint="eastAsia" w:ascii="楷体_GB2312" w:hAnsi="楷体_GB2312" w:eastAsia="楷体_GB2312" w:cs="楷体_GB2312"/>
                <w:b w:val="0"/>
                <w:bCs/>
                <w:i w:val="0"/>
                <w:color w:val="000000"/>
                <w:sz w:val="24"/>
                <w:szCs w:val="24"/>
                <w:highlight w:val="none"/>
                <w:lang w:val="en-US" w:eastAsia="zh-CN"/>
              </w:rPr>
            </w:pPr>
            <w:r>
              <w:rPr>
                <w:rFonts w:hint="eastAsia" w:ascii="楷体_GB2312" w:hAnsi="楷体_GB2312" w:eastAsia="楷体_GB2312" w:cs="楷体_GB2312"/>
                <w:b w:val="0"/>
                <w:bCs/>
                <w:i w:val="0"/>
                <w:color w:val="000000"/>
                <w:sz w:val="24"/>
                <w:szCs w:val="24"/>
                <w:highlight w:val="none"/>
              </w:rPr>
              <w:t>去程，抵港，入住酒店</w:t>
            </w:r>
            <w:r>
              <w:rPr>
                <w:rFonts w:hint="eastAsia" w:ascii="楷体_GB2312" w:hAnsi="楷体_GB2312" w:eastAsia="楷体_GB2312" w:cs="楷体_GB2312"/>
                <w:b w:val="0"/>
                <w:bCs/>
                <w:i w:val="0"/>
                <w:color w:val="000000"/>
                <w:sz w:val="24"/>
                <w:szCs w:val="24"/>
                <w:highlight w:val="none"/>
                <w:lang w:eastAsia="zh-CN"/>
              </w:rPr>
              <w:t>（</w:t>
            </w:r>
            <w:r>
              <w:rPr>
                <w:rFonts w:hint="eastAsia" w:ascii="楷体_GB2312" w:hAnsi="楷体_GB2312" w:eastAsia="楷体_GB2312" w:cs="楷体_GB2312"/>
                <w:b w:val="0"/>
                <w:bCs/>
                <w:i w:val="0"/>
                <w:color w:val="000000"/>
                <w:sz w:val="24"/>
                <w:szCs w:val="24"/>
                <w:highlight w:val="none"/>
                <w:lang w:val="en-US" w:eastAsia="zh-CN"/>
              </w:rPr>
              <w:t>接：香港机场、香港西九龙）</w:t>
            </w:r>
          </w:p>
        </w:tc>
      </w:tr>
      <w:tr w14:paraId="3AE3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dxa"/>
            <w:shd w:val="clear" w:color="auto" w:fill="auto"/>
            <w:tcMar>
              <w:top w:w="80" w:type="dxa"/>
              <w:left w:w="80" w:type="dxa"/>
              <w:bottom w:w="80" w:type="dxa"/>
              <w:right w:w="80" w:type="dxa"/>
            </w:tcMar>
            <w:vAlign w:val="center"/>
          </w:tcPr>
          <w:p w14:paraId="3130AE86">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val="zh-CN"/>
              </w:rPr>
              <w:t>Day2</w:t>
            </w:r>
          </w:p>
        </w:tc>
        <w:tc>
          <w:tcPr>
            <w:tcW w:w="7461" w:type="dxa"/>
            <w:shd w:val="clear" w:color="auto" w:fill="auto"/>
            <w:tcMar>
              <w:top w:w="80" w:type="dxa"/>
              <w:left w:w="80" w:type="dxa"/>
              <w:bottom w:w="80" w:type="dxa"/>
              <w:right w:w="80" w:type="dxa"/>
            </w:tcMar>
            <w:vAlign w:val="center"/>
          </w:tcPr>
          <w:p w14:paraId="5505819F">
            <w:pPr>
              <w:pStyle w:val="10"/>
              <w:rPr>
                <w:rFonts w:hint="eastAsia" w:ascii="楷体_GB2312" w:hAnsi="楷体_GB2312" w:eastAsia="楷体_GB2312" w:cs="楷体_GB2312"/>
                <w:b w:val="0"/>
                <w:bCs/>
                <w:i w:val="0"/>
                <w:color w:val="000000"/>
                <w:sz w:val="24"/>
                <w:szCs w:val="24"/>
                <w:highlight w:val="none"/>
              </w:rPr>
            </w:pPr>
            <w:r>
              <w:rPr>
                <w:rFonts w:hint="eastAsia" w:ascii="楷体_GB2312" w:hAnsi="楷体_GB2312" w:eastAsia="楷体_GB2312" w:cs="楷体_GB2312"/>
                <w:b w:val="0"/>
                <w:bCs/>
                <w:i w:val="0"/>
                <w:color w:val="000000"/>
                <w:sz w:val="24"/>
                <w:szCs w:val="24"/>
                <w:highlight w:val="none"/>
                <w:lang w:eastAsia="zh-TW"/>
              </w:rPr>
              <w:t>开</w:t>
            </w:r>
            <w:r>
              <w:rPr>
                <w:rFonts w:hint="eastAsia" w:ascii="楷体_GB2312" w:hAnsi="楷体_GB2312" w:eastAsia="楷体_GB2312" w:cs="楷体_GB2312"/>
                <w:b w:val="0"/>
                <w:bCs/>
                <w:i w:val="0"/>
                <w:color w:val="000000"/>
                <w:sz w:val="24"/>
                <w:szCs w:val="24"/>
                <w:highlight w:val="none"/>
              </w:rPr>
              <w:t>班仪式及课程介绍</w:t>
            </w:r>
          </w:p>
          <w:p w14:paraId="0C551DFB">
            <w:pPr>
              <w:pStyle w:val="10"/>
              <w:rPr>
                <w:rFonts w:hint="eastAsia" w:ascii="楷体_GB2312" w:hAnsi="楷体_GB2312" w:eastAsia="楷体_GB2312" w:cs="楷体_GB2312"/>
                <w:b w:val="0"/>
                <w:i w:val="0"/>
                <w:color w:val="000000"/>
                <w:sz w:val="24"/>
                <w:szCs w:val="24"/>
                <w:highlight w:val="none"/>
                <w:lang w:val="zh-TW" w:eastAsia="zh-CN"/>
              </w:rPr>
            </w:pPr>
            <w:r>
              <w:rPr>
                <w:rFonts w:hint="eastAsia" w:ascii="楷体_GB2312" w:hAnsi="楷体_GB2312" w:eastAsia="楷体_GB2312" w:cs="楷体_GB2312"/>
                <w:b w:val="0"/>
                <w:bCs/>
                <w:i w:val="0"/>
                <w:color w:val="000000"/>
                <w:sz w:val="24"/>
                <w:szCs w:val="24"/>
                <w:highlight w:val="none"/>
                <w:lang w:eastAsia="zh-TW"/>
              </w:rPr>
              <w:t>课程一：</w:t>
            </w:r>
            <w:r>
              <w:rPr>
                <w:rFonts w:hint="eastAsia" w:ascii="楷体_GB2312" w:hAnsi="楷体_GB2312" w:eastAsia="楷体_GB2312" w:cs="楷体_GB2312"/>
                <w:b w:val="0"/>
                <w:i w:val="0"/>
                <w:color w:val="000000"/>
                <w:sz w:val="24"/>
                <w:szCs w:val="24"/>
                <w:highlight w:val="none"/>
                <w:lang w:val="zh-TW" w:eastAsia="zh-TW"/>
              </w:rPr>
              <w:t>《香港大学牙医学院人才培养体系</w:t>
            </w:r>
            <w:r>
              <w:rPr>
                <w:rFonts w:hint="eastAsia" w:ascii="楷体_GB2312" w:hAnsi="楷体_GB2312" w:eastAsia="楷体_GB2312" w:cs="楷体_GB2312"/>
                <w:b w:val="0"/>
                <w:i w:val="0"/>
                <w:color w:val="000000"/>
                <w:sz w:val="24"/>
                <w:szCs w:val="24"/>
                <w:highlight w:val="none"/>
                <w:lang w:val="zh-TW" w:eastAsia="zh-CN"/>
              </w:rPr>
              <w:t>》</w:t>
            </w:r>
          </w:p>
          <w:p w14:paraId="4BBD5B6C">
            <w:pPr>
              <w:pStyle w:val="10"/>
              <w:rPr>
                <w:rFonts w:hint="eastAsia" w:ascii="楷体_GB2312" w:hAnsi="楷体_GB2312" w:eastAsia="楷体_GB2312" w:cs="楷体_GB2312"/>
                <w:b w:val="0"/>
                <w:bCs/>
                <w:i w:val="0"/>
                <w:color w:val="000000"/>
                <w:sz w:val="24"/>
                <w:szCs w:val="24"/>
                <w:highlight w:val="none"/>
                <w:lang w:val="zh-TW" w:eastAsia="zh-CN"/>
              </w:rPr>
            </w:pPr>
            <w:r>
              <w:rPr>
                <w:rFonts w:hint="eastAsia" w:ascii="楷体_GB2312" w:hAnsi="楷体_GB2312" w:eastAsia="楷体_GB2312" w:cs="楷体_GB2312"/>
                <w:b w:val="0"/>
                <w:i w:val="0"/>
                <w:color w:val="000000"/>
                <w:sz w:val="24"/>
                <w:szCs w:val="24"/>
                <w:highlight w:val="none"/>
                <w:lang w:val="en-US" w:eastAsia="zh-CN"/>
              </w:rPr>
              <w:t>参观</w:t>
            </w:r>
            <w:r>
              <w:rPr>
                <w:rFonts w:hint="eastAsia" w:ascii="楷体_GB2312" w:hAnsi="楷体_GB2312" w:eastAsia="楷体_GB2312" w:cs="楷体_GB2312"/>
                <w:b w:val="0"/>
                <w:i w:val="0"/>
                <w:color w:val="000000"/>
                <w:sz w:val="24"/>
                <w:szCs w:val="24"/>
                <w:highlight w:val="none"/>
                <w:lang w:val="zh-TW" w:eastAsia="zh-CN"/>
              </w:rPr>
              <w:t>香港大学牙医学院菲腊牙科医院</w:t>
            </w:r>
          </w:p>
          <w:p w14:paraId="755A6BF8">
            <w:pPr>
              <w:pStyle w:val="10"/>
              <w:rPr>
                <w:rFonts w:hint="eastAsia" w:ascii="楷体_GB2312" w:hAnsi="楷体_GB2312" w:eastAsia="楷体_GB2312" w:cs="楷体_GB2312"/>
                <w:b w:val="0"/>
                <w:bCs/>
                <w:i w:val="0"/>
                <w:color w:val="000000"/>
                <w:sz w:val="24"/>
                <w:szCs w:val="24"/>
                <w:highlight w:val="none"/>
                <w:lang w:val="en-US" w:eastAsia="zh-CN"/>
              </w:rPr>
            </w:pPr>
            <w:r>
              <w:rPr>
                <w:rFonts w:hint="eastAsia" w:ascii="楷体_GB2312" w:hAnsi="楷体_GB2312" w:eastAsia="楷体_GB2312" w:cs="楷体_GB2312"/>
                <w:b w:val="0"/>
                <w:bCs/>
                <w:i w:val="0"/>
                <w:color w:val="000000"/>
                <w:sz w:val="24"/>
                <w:szCs w:val="24"/>
                <w:highlight w:val="none"/>
                <w:lang w:val="en-US" w:eastAsia="zh-CN"/>
              </w:rPr>
              <w:t>课程二</w:t>
            </w:r>
            <w:r>
              <w:rPr>
                <w:rFonts w:hint="eastAsia" w:ascii="楷体_GB2312" w:hAnsi="楷体_GB2312" w:eastAsia="楷体_GB2312" w:cs="楷体_GB2312"/>
                <w:b w:val="0"/>
                <w:bCs/>
                <w:i w:val="0"/>
                <w:color w:val="000000"/>
                <w:sz w:val="24"/>
                <w:szCs w:val="24"/>
                <w:highlight w:val="none"/>
              </w:rPr>
              <w:t>：</w:t>
            </w:r>
            <w:r>
              <w:rPr>
                <w:rFonts w:hint="eastAsia" w:ascii="楷体_GB2312" w:hAnsi="楷体_GB2312" w:eastAsia="楷体_GB2312" w:cs="楷体_GB2312"/>
                <w:b w:val="0"/>
                <w:bCs/>
                <w:i w:val="0"/>
                <w:color w:val="000000"/>
                <w:sz w:val="24"/>
                <w:szCs w:val="24"/>
                <w:highlight w:val="none"/>
                <w:lang w:eastAsia="zh-CN"/>
              </w:rPr>
              <w:t>《</w:t>
            </w:r>
            <w:r>
              <w:rPr>
                <w:rFonts w:hint="eastAsia" w:ascii="楷体_GB2312" w:hAnsi="楷体_GB2312" w:eastAsia="楷体_GB2312" w:cs="楷体_GB2312"/>
                <w:b w:val="0"/>
                <w:i w:val="0"/>
                <w:color w:val="000000"/>
                <w:sz w:val="24"/>
                <w:szCs w:val="24"/>
                <w:highlight w:val="none"/>
              </w:rPr>
              <w:t>牙科中的3D打印：原理，材料和临床应用</w:t>
            </w:r>
            <w:r>
              <w:rPr>
                <w:rFonts w:hint="eastAsia" w:ascii="楷体_GB2312" w:hAnsi="楷体_GB2312" w:eastAsia="楷体_GB2312" w:cs="楷体_GB2312"/>
                <w:b w:val="0"/>
                <w:i w:val="0"/>
                <w:color w:val="000000"/>
                <w:sz w:val="24"/>
                <w:szCs w:val="24"/>
                <w:highlight w:val="none"/>
                <w:lang w:eastAsia="zh-CN"/>
              </w:rPr>
              <w:t>》</w:t>
            </w:r>
          </w:p>
        </w:tc>
      </w:tr>
      <w:tr w14:paraId="69BC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9" w:hRule="atLeast"/>
          <w:jc w:val="center"/>
        </w:trPr>
        <w:tc>
          <w:tcPr>
            <w:tcW w:w="892" w:type="dxa"/>
            <w:shd w:val="clear" w:color="auto" w:fill="auto"/>
            <w:tcMar>
              <w:top w:w="80" w:type="dxa"/>
              <w:left w:w="80" w:type="dxa"/>
              <w:bottom w:w="80" w:type="dxa"/>
              <w:right w:w="80" w:type="dxa"/>
            </w:tcMar>
            <w:vAlign w:val="center"/>
          </w:tcPr>
          <w:p w14:paraId="07045843">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eastAsia="zh-TW"/>
              </w:rPr>
              <w:t>Day3</w:t>
            </w:r>
          </w:p>
        </w:tc>
        <w:tc>
          <w:tcPr>
            <w:tcW w:w="7461" w:type="dxa"/>
            <w:shd w:val="clear" w:color="auto" w:fill="auto"/>
            <w:tcMar>
              <w:top w:w="80" w:type="dxa"/>
              <w:left w:w="80" w:type="dxa"/>
              <w:bottom w:w="80" w:type="dxa"/>
              <w:right w:w="80" w:type="dxa"/>
            </w:tcMar>
            <w:vAlign w:val="top"/>
          </w:tcPr>
          <w:p w14:paraId="71ADEFE1">
            <w:pPr>
              <w:pStyle w:val="10"/>
              <w:rPr>
                <w:rFonts w:hint="eastAsia" w:ascii="楷体_GB2312" w:hAnsi="楷体_GB2312" w:eastAsia="楷体_GB2312" w:cs="楷体_GB2312"/>
                <w:b w:val="0"/>
                <w:i w:val="0"/>
                <w:color w:val="000000"/>
                <w:sz w:val="24"/>
                <w:szCs w:val="24"/>
                <w:highlight w:val="none"/>
                <w:lang w:val="zh-TW"/>
              </w:rPr>
            </w:pPr>
            <w:r>
              <w:rPr>
                <w:rFonts w:hint="eastAsia" w:ascii="楷体_GB2312" w:hAnsi="楷体_GB2312" w:eastAsia="楷体_GB2312" w:cs="楷体_GB2312"/>
                <w:b w:val="0"/>
                <w:bCs/>
                <w:i w:val="0"/>
                <w:color w:val="000000"/>
                <w:sz w:val="24"/>
                <w:szCs w:val="24"/>
                <w:highlight w:val="none"/>
                <w:lang w:val="zh-TW" w:eastAsia="zh-TW"/>
              </w:rPr>
              <w:t>课程</w:t>
            </w:r>
            <w:r>
              <w:rPr>
                <w:rFonts w:hint="eastAsia" w:ascii="楷体_GB2312" w:hAnsi="楷体_GB2312" w:eastAsia="楷体_GB2312" w:cs="楷体_GB2312"/>
                <w:b w:val="0"/>
                <w:bCs/>
                <w:i w:val="0"/>
                <w:color w:val="000000"/>
                <w:sz w:val="24"/>
                <w:szCs w:val="24"/>
                <w:highlight w:val="none"/>
                <w:lang w:val="zh-TW"/>
              </w:rPr>
              <w:t>二</w:t>
            </w:r>
            <w:r>
              <w:rPr>
                <w:rFonts w:hint="eastAsia" w:ascii="楷体_GB2312" w:hAnsi="楷体_GB2312" w:eastAsia="楷体_GB2312" w:cs="楷体_GB2312"/>
                <w:b w:val="0"/>
                <w:bCs/>
                <w:i w:val="0"/>
                <w:color w:val="000000"/>
                <w:sz w:val="24"/>
                <w:szCs w:val="24"/>
                <w:highlight w:val="none"/>
                <w:lang w:val="zh-TW" w:eastAsia="zh-TW"/>
              </w:rPr>
              <w:t>：</w:t>
            </w:r>
            <w:r>
              <w:rPr>
                <w:rFonts w:hint="eastAsia" w:ascii="楷体_GB2312" w:hAnsi="楷体_GB2312" w:eastAsia="楷体_GB2312" w:cs="楷体_GB2312"/>
                <w:b w:val="0"/>
                <w:i w:val="0"/>
                <w:color w:val="000000"/>
                <w:sz w:val="24"/>
                <w:szCs w:val="24"/>
                <w:highlight w:val="none"/>
                <w:lang w:val="zh-TW"/>
              </w:rPr>
              <w:t xml:space="preserve"> </w:t>
            </w:r>
            <w:r>
              <w:rPr>
                <w:rFonts w:hint="eastAsia" w:ascii="楷体_GB2312" w:hAnsi="楷体_GB2312" w:eastAsia="楷体_GB2312" w:cs="楷体_GB2312"/>
                <w:b w:val="0"/>
                <w:i w:val="0"/>
                <w:color w:val="000000"/>
                <w:sz w:val="24"/>
                <w:szCs w:val="24"/>
                <w:highlight w:val="none"/>
                <w:lang w:eastAsia="zh-TW"/>
              </w:rPr>
              <w:t>《</w:t>
            </w:r>
            <w:r>
              <w:rPr>
                <w:rFonts w:hint="eastAsia" w:ascii="楷体_GB2312" w:hAnsi="楷体_GB2312" w:eastAsia="楷体_GB2312" w:cs="楷体_GB2312"/>
                <w:b w:val="0"/>
                <w:i w:val="0"/>
                <w:color w:val="000000"/>
                <w:sz w:val="24"/>
                <w:szCs w:val="24"/>
                <w:highlight w:val="none"/>
                <w:lang w:val="zh-TW" w:eastAsia="zh-TW"/>
              </w:rPr>
              <w:t>人工智能在牙科中的应用</w:t>
            </w:r>
            <w:r>
              <w:rPr>
                <w:rFonts w:hint="eastAsia" w:ascii="楷体_GB2312" w:hAnsi="楷体_GB2312" w:eastAsia="楷体_GB2312" w:cs="楷体_GB2312"/>
                <w:b w:val="0"/>
                <w:i w:val="0"/>
                <w:color w:val="000000"/>
                <w:sz w:val="24"/>
                <w:szCs w:val="24"/>
                <w:highlight w:val="none"/>
                <w:lang w:eastAsia="zh-TW"/>
              </w:rPr>
              <w:t>》</w:t>
            </w:r>
          </w:p>
          <w:p w14:paraId="68963830">
            <w:pPr>
              <w:pStyle w:val="10"/>
              <w:rPr>
                <w:rFonts w:hint="eastAsia" w:ascii="楷体_GB2312" w:hAnsi="楷体_GB2312" w:eastAsia="楷体_GB2312" w:cs="楷体_GB2312"/>
                <w:b w:val="0"/>
                <w:i w:val="0"/>
                <w:color w:val="000000"/>
                <w:sz w:val="24"/>
                <w:szCs w:val="24"/>
                <w:highlight w:val="none"/>
                <w:lang w:val="zh-TW"/>
              </w:rPr>
            </w:pPr>
            <w:r>
              <w:rPr>
                <w:rFonts w:hint="eastAsia" w:ascii="楷体_GB2312" w:hAnsi="楷体_GB2312" w:eastAsia="楷体_GB2312" w:cs="楷体_GB2312"/>
                <w:b w:val="0"/>
                <w:bCs/>
                <w:i w:val="0"/>
                <w:color w:val="000000"/>
                <w:sz w:val="24"/>
                <w:szCs w:val="24"/>
                <w:highlight w:val="none"/>
                <w:lang w:val="zh-TW" w:eastAsia="zh-TW"/>
              </w:rPr>
              <w:t>课程三：</w:t>
            </w:r>
            <w:r>
              <w:rPr>
                <w:rFonts w:hint="eastAsia" w:ascii="楷体_GB2312" w:hAnsi="楷体_GB2312" w:eastAsia="楷体_GB2312" w:cs="楷体_GB2312"/>
                <w:b w:val="0"/>
                <w:i w:val="0"/>
                <w:color w:val="000000"/>
                <w:sz w:val="24"/>
                <w:szCs w:val="24"/>
                <w:highlight w:val="none"/>
                <w:lang w:val="zh-TW"/>
              </w:rPr>
              <w:t xml:space="preserve"> </w:t>
            </w:r>
            <w:r>
              <w:rPr>
                <w:rFonts w:hint="eastAsia" w:ascii="楷体_GB2312" w:hAnsi="楷体_GB2312" w:eastAsia="楷体_GB2312" w:cs="楷体_GB2312"/>
                <w:b w:val="0"/>
                <w:i w:val="0"/>
                <w:color w:val="000000"/>
                <w:sz w:val="24"/>
                <w:szCs w:val="24"/>
                <w:highlight w:val="none"/>
                <w:lang w:eastAsia="zh-TW"/>
              </w:rPr>
              <w:t>《</w:t>
            </w:r>
            <w:r>
              <w:rPr>
                <w:rFonts w:hint="eastAsia" w:ascii="楷体_GB2312" w:hAnsi="楷体_GB2312" w:eastAsia="楷体_GB2312" w:cs="楷体_GB2312"/>
                <w:b w:val="0"/>
                <w:i w:val="0"/>
                <w:color w:val="000000"/>
                <w:sz w:val="24"/>
                <w:szCs w:val="24"/>
                <w:highlight w:val="none"/>
                <w:lang w:val="en-US" w:eastAsia="zh-CN"/>
              </w:rPr>
              <w:t>牙科陶瓷的机械性能</w:t>
            </w:r>
            <w:r>
              <w:rPr>
                <w:rFonts w:hint="eastAsia" w:ascii="楷体_GB2312" w:hAnsi="楷体_GB2312" w:eastAsia="楷体_GB2312" w:cs="楷体_GB2312"/>
                <w:b w:val="0"/>
                <w:i w:val="0"/>
                <w:color w:val="000000"/>
                <w:sz w:val="24"/>
                <w:szCs w:val="24"/>
                <w:highlight w:val="none"/>
                <w:lang w:eastAsia="zh-TW"/>
              </w:rPr>
              <w:t>》</w:t>
            </w:r>
          </w:p>
        </w:tc>
      </w:tr>
      <w:tr w14:paraId="3A6B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92" w:type="dxa"/>
            <w:shd w:val="clear" w:color="auto" w:fill="auto"/>
            <w:tcMar>
              <w:top w:w="80" w:type="dxa"/>
              <w:left w:w="80" w:type="dxa"/>
              <w:bottom w:w="80" w:type="dxa"/>
              <w:right w:w="80" w:type="dxa"/>
            </w:tcMar>
            <w:vAlign w:val="center"/>
          </w:tcPr>
          <w:p w14:paraId="3037D0C5">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val="zh-CN"/>
              </w:rPr>
              <w:t>Day4</w:t>
            </w:r>
          </w:p>
        </w:tc>
        <w:tc>
          <w:tcPr>
            <w:tcW w:w="7461" w:type="dxa"/>
            <w:shd w:val="clear" w:color="auto" w:fill="auto"/>
            <w:tcMar>
              <w:top w:w="80" w:type="dxa"/>
              <w:left w:w="80" w:type="dxa"/>
              <w:bottom w:w="80" w:type="dxa"/>
              <w:right w:w="80" w:type="dxa"/>
            </w:tcMar>
            <w:vAlign w:val="top"/>
          </w:tcPr>
          <w:p w14:paraId="0CAFA5B6">
            <w:pPr>
              <w:pStyle w:val="10"/>
              <w:rPr>
                <w:rFonts w:hint="eastAsia" w:ascii="楷体_GB2312" w:hAnsi="楷体_GB2312" w:eastAsia="楷体_GB2312" w:cs="楷体_GB2312"/>
                <w:b w:val="0"/>
                <w:i w:val="0"/>
                <w:color w:val="000000"/>
                <w:sz w:val="24"/>
                <w:szCs w:val="24"/>
                <w:highlight w:val="none"/>
                <w:lang w:val="zh-TW"/>
              </w:rPr>
            </w:pPr>
            <w:r>
              <w:rPr>
                <w:rFonts w:hint="eastAsia" w:ascii="楷体_GB2312" w:hAnsi="楷体_GB2312" w:eastAsia="楷体_GB2312" w:cs="楷体_GB2312"/>
                <w:b w:val="0"/>
                <w:bCs/>
                <w:i w:val="0"/>
                <w:color w:val="000000"/>
                <w:sz w:val="24"/>
                <w:szCs w:val="24"/>
                <w:highlight w:val="none"/>
                <w:lang w:val="zh-TW" w:eastAsia="zh-TW"/>
              </w:rPr>
              <w:t>课程四：</w:t>
            </w:r>
            <w:r>
              <w:rPr>
                <w:rFonts w:hint="eastAsia" w:ascii="楷体_GB2312" w:hAnsi="楷体_GB2312" w:eastAsia="楷体_GB2312" w:cs="楷体_GB2312"/>
                <w:b w:val="0"/>
                <w:i w:val="0"/>
                <w:color w:val="000000"/>
                <w:sz w:val="24"/>
                <w:szCs w:val="24"/>
                <w:highlight w:val="none"/>
                <w:lang w:val="zh-TW" w:eastAsia="zh-TW"/>
              </w:rPr>
              <w:t>《</w:t>
            </w:r>
            <w:r>
              <w:rPr>
                <w:rFonts w:hint="eastAsia" w:ascii="楷体_GB2312" w:hAnsi="楷体_GB2312" w:eastAsia="楷体_GB2312" w:cs="楷体_GB2312"/>
                <w:b w:val="0"/>
                <w:i w:val="0"/>
                <w:color w:val="000000"/>
                <w:sz w:val="24"/>
                <w:szCs w:val="24"/>
                <w:highlight w:val="none"/>
                <w:lang w:val="en-US" w:eastAsia="zh-CN"/>
              </w:rPr>
              <w:t>正畸生物力学与跨学科治疗方法</w:t>
            </w:r>
            <w:r>
              <w:rPr>
                <w:rFonts w:hint="eastAsia" w:ascii="楷体_GB2312" w:hAnsi="楷体_GB2312" w:eastAsia="楷体_GB2312" w:cs="楷体_GB2312"/>
                <w:b w:val="0"/>
                <w:i w:val="0"/>
                <w:color w:val="000000"/>
                <w:sz w:val="24"/>
                <w:szCs w:val="24"/>
                <w:highlight w:val="none"/>
                <w:lang w:val="zh-TW" w:eastAsia="zh-TW"/>
              </w:rPr>
              <w:t>》</w:t>
            </w:r>
          </w:p>
          <w:p w14:paraId="178C2864">
            <w:pPr>
              <w:pStyle w:val="10"/>
              <w:rPr>
                <w:rFonts w:hint="eastAsia" w:ascii="楷体_GB2312" w:hAnsi="楷体_GB2312" w:eastAsia="楷体_GB2312" w:cs="楷体_GB2312"/>
                <w:b w:val="0"/>
                <w:bCs/>
                <w:i w:val="0"/>
                <w:color w:val="000000"/>
                <w:sz w:val="24"/>
                <w:szCs w:val="24"/>
                <w:highlight w:val="none"/>
                <w:lang w:val="zh-TW"/>
              </w:rPr>
            </w:pPr>
            <w:r>
              <w:rPr>
                <w:rFonts w:hint="eastAsia" w:ascii="楷体_GB2312" w:hAnsi="楷体_GB2312" w:eastAsia="楷体_GB2312" w:cs="楷体_GB2312"/>
                <w:b w:val="0"/>
                <w:bCs/>
                <w:i w:val="0"/>
                <w:color w:val="000000"/>
                <w:sz w:val="24"/>
                <w:szCs w:val="24"/>
                <w:highlight w:val="none"/>
                <w:lang w:val="zh-TW" w:eastAsia="zh-TW"/>
              </w:rPr>
              <w:t>参</w:t>
            </w:r>
            <w:r>
              <w:rPr>
                <w:rFonts w:hint="eastAsia" w:ascii="楷体_GB2312" w:hAnsi="楷体_GB2312" w:eastAsia="楷体_GB2312" w:cs="楷体_GB2312"/>
                <w:b w:val="0"/>
                <w:bCs/>
                <w:i w:val="0"/>
                <w:color w:val="000000"/>
                <w:sz w:val="24"/>
                <w:szCs w:val="24"/>
                <w:highlight w:val="none"/>
                <w:lang w:val="en-US" w:eastAsia="zh-CN"/>
              </w:rPr>
              <w:t>访</w:t>
            </w:r>
            <w:r>
              <w:rPr>
                <w:rFonts w:hint="eastAsia" w:ascii="楷体_GB2312" w:hAnsi="楷体_GB2312" w:eastAsia="楷体_GB2312" w:cs="楷体_GB2312"/>
                <w:b w:val="0"/>
                <w:bCs/>
                <w:i w:val="0"/>
                <w:color w:val="000000"/>
                <w:sz w:val="24"/>
                <w:szCs w:val="24"/>
                <w:highlight w:val="none"/>
                <w:lang w:val="zh-TW" w:eastAsia="zh-TW"/>
              </w:rPr>
              <w:t>：</w:t>
            </w:r>
            <w:r>
              <w:rPr>
                <w:rFonts w:hint="eastAsia" w:ascii="楷体_GB2312" w:hAnsi="楷体_GB2312" w:eastAsia="楷体_GB2312" w:cs="楷体_GB2312"/>
                <w:b w:val="0"/>
                <w:i w:val="0"/>
                <w:color w:val="000000"/>
                <w:sz w:val="24"/>
                <w:szCs w:val="24"/>
                <w:highlight w:val="none"/>
                <w:lang w:val="zh-TW" w:eastAsia="zh-TW"/>
              </w:rPr>
              <w:t>香港医学博物馆</w:t>
            </w:r>
          </w:p>
        </w:tc>
      </w:tr>
      <w:tr w14:paraId="49DA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92" w:type="dxa"/>
            <w:shd w:val="clear" w:color="auto" w:fill="auto"/>
            <w:tcMar>
              <w:top w:w="80" w:type="dxa"/>
              <w:left w:w="80" w:type="dxa"/>
              <w:bottom w:w="80" w:type="dxa"/>
              <w:right w:w="80" w:type="dxa"/>
            </w:tcMar>
            <w:vAlign w:val="center"/>
          </w:tcPr>
          <w:p w14:paraId="0AB56BD0">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eastAsia="zh-TW"/>
              </w:rPr>
              <w:t>Day5</w:t>
            </w:r>
          </w:p>
        </w:tc>
        <w:tc>
          <w:tcPr>
            <w:tcW w:w="7461" w:type="dxa"/>
            <w:shd w:val="clear" w:color="auto" w:fill="auto"/>
            <w:tcMar>
              <w:top w:w="80" w:type="dxa"/>
              <w:left w:w="80" w:type="dxa"/>
              <w:bottom w:w="80" w:type="dxa"/>
              <w:right w:w="80" w:type="dxa"/>
            </w:tcMar>
            <w:vAlign w:val="top"/>
          </w:tcPr>
          <w:p w14:paraId="156000CF">
            <w:pPr>
              <w:pStyle w:val="10"/>
              <w:rPr>
                <w:rFonts w:hint="eastAsia" w:ascii="楷体_GB2312" w:hAnsi="楷体_GB2312" w:eastAsia="楷体_GB2312" w:cs="楷体_GB2312"/>
                <w:b w:val="0"/>
                <w:i w:val="0"/>
                <w:color w:val="000000"/>
                <w:sz w:val="24"/>
                <w:szCs w:val="24"/>
                <w:highlight w:val="none"/>
                <w:lang w:val="zh-TW" w:eastAsia="zh-CN"/>
              </w:rPr>
            </w:pPr>
            <w:r>
              <w:rPr>
                <w:rFonts w:hint="eastAsia" w:ascii="楷体_GB2312" w:hAnsi="楷体_GB2312" w:eastAsia="楷体_GB2312" w:cs="楷体_GB2312"/>
                <w:b w:val="0"/>
                <w:bCs/>
                <w:i w:val="0"/>
                <w:color w:val="000000"/>
                <w:sz w:val="24"/>
                <w:szCs w:val="24"/>
                <w:highlight w:val="none"/>
                <w:lang w:val="en-US" w:eastAsia="zh-CN"/>
              </w:rPr>
              <w:t>课程六</w:t>
            </w:r>
            <w:r>
              <w:rPr>
                <w:rFonts w:hint="eastAsia" w:ascii="楷体_GB2312" w:hAnsi="楷体_GB2312" w:eastAsia="楷体_GB2312" w:cs="楷体_GB2312"/>
                <w:b w:val="0"/>
                <w:bCs/>
                <w:i w:val="0"/>
                <w:color w:val="000000"/>
                <w:sz w:val="24"/>
                <w:szCs w:val="24"/>
                <w:highlight w:val="none"/>
                <w:lang w:val="zh-TW" w:eastAsia="zh-TW"/>
              </w:rPr>
              <w:t>：</w:t>
            </w:r>
            <w:r>
              <w:rPr>
                <w:rFonts w:hint="eastAsia" w:ascii="楷体_GB2312" w:hAnsi="楷体_GB2312" w:eastAsia="楷体_GB2312" w:cs="楷体_GB2312"/>
                <w:b w:val="0"/>
                <w:bCs/>
                <w:i w:val="0"/>
                <w:color w:val="000000"/>
                <w:sz w:val="24"/>
                <w:szCs w:val="24"/>
                <w:highlight w:val="none"/>
                <w:lang w:val="zh-TW" w:eastAsia="zh-CN"/>
              </w:rPr>
              <w:t>《</w:t>
            </w:r>
            <w:r>
              <w:rPr>
                <w:rFonts w:hint="eastAsia" w:ascii="楷体_GB2312" w:hAnsi="楷体_GB2312" w:eastAsia="楷体_GB2312" w:cs="楷体_GB2312"/>
                <w:b w:val="0"/>
                <w:i w:val="0"/>
                <w:color w:val="000000"/>
                <w:sz w:val="24"/>
                <w:szCs w:val="24"/>
                <w:highlight w:val="none"/>
                <w:lang w:val="zh-TW" w:eastAsia="zh-TW"/>
              </w:rPr>
              <w:t>前牙修复的功能与美学设计</w:t>
            </w:r>
            <w:r>
              <w:rPr>
                <w:rFonts w:hint="eastAsia" w:ascii="楷体_GB2312" w:hAnsi="楷体_GB2312" w:eastAsia="楷体_GB2312" w:cs="楷体_GB2312"/>
                <w:b w:val="0"/>
                <w:i w:val="0"/>
                <w:color w:val="000000"/>
                <w:sz w:val="24"/>
                <w:szCs w:val="24"/>
                <w:highlight w:val="none"/>
                <w:lang w:val="zh-TW" w:eastAsia="zh-CN"/>
              </w:rPr>
              <w:t>》</w:t>
            </w:r>
          </w:p>
          <w:p w14:paraId="52B260C1">
            <w:pPr>
              <w:pStyle w:val="10"/>
              <w:rPr>
                <w:rFonts w:hint="eastAsia" w:ascii="楷体_GB2312" w:hAnsi="楷体_GB2312" w:eastAsia="楷体_GB2312" w:cs="楷体_GB2312"/>
                <w:b w:val="0"/>
                <w:i w:val="0"/>
                <w:color w:val="000000"/>
                <w:sz w:val="24"/>
                <w:szCs w:val="24"/>
                <w:highlight w:val="none"/>
                <w:lang w:val="zh-CN" w:eastAsia="zh-CN"/>
              </w:rPr>
            </w:pPr>
            <w:r>
              <w:rPr>
                <w:rFonts w:hint="eastAsia" w:ascii="楷体_GB2312" w:hAnsi="楷体_GB2312" w:eastAsia="楷体_GB2312" w:cs="楷体_GB2312"/>
                <w:b w:val="0"/>
                <w:bCs/>
                <w:i w:val="0"/>
                <w:color w:val="000000"/>
                <w:sz w:val="24"/>
                <w:szCs w:val="24"/>
                <w:highlight w:val="none"/>
                <w:lang w:val="en-US" w:eastAsia="zh-CN"/>
              </w:rPr>
              <w:t>参访</w:t>
            </w:r>
            <w:r>
              <w:rPr>
                <w:rFonts w:hint="eastAsia" w:ascii="楷体_GB2312" w:hAnsi="楷体_GB2312" w:eastAsia="楷体_GB2312" w:cs="楷体_GB2312"/>
                <w:b w:val="0"/>
                <w:bCs/>
                <w:i w:val="0"/>
                <w:color w:val="000000"/>
                <w:sz w:val="24"/>
                <w:szCs w:val="24"/>
                <w:highlight w:val="none"/>
                <w:lang w:val="zh-TW" w:eastAsia="zh-TW"/>
              </w:rPr>
              <w:t>：</w:t>
            </w:r>
            <w:r>
              <w:rPr>
                <w:rFonts w:hint="eastAsia" w:ascii="楷体_GB2312" w:hAnsi="楷体_GB2312" w:eastAsia="楷体_GB2312" w:cs="楷体_GB2312"/>
                <w:b w:val="0"/>
                <w:i w:val="0"/>
                <w:color w:val="000000"/>
                <w:sz w:val="24"/>
                <w:szCs w:val="24"/>
                <w:highlight w:val="none"/>
                <w:lang w:val="zh-TW" w:eastAsia="zh-TW"/>
              </w:rPr>
              <w:t>Modern Dental Group-Premium Lab Center of Dental Education</w:t>
            </w:r>
          </w:p>
        </w:tc>
      </w:tr>
      <w:tr w14:paraId="57B8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7" w:hRule="atLeast"/>
          <w:jc w:val="center"/>
        </w:trPr>
        <w:tc>
          <w:tcPr>
            <w:tcW w:w="892" w:type="dxa"/>
            <w:shd w:val="clear" w:color="auto" w:fill="auto"/>
            <w:tcMar>
              <w:top w:w="80" w:type="dxa"/>
              <w:left w:w="80" w:type="dxa"/>
              <w:bottom w:w="80" w:type="dxa"/>
              <w:right w:w="80" w:type="dxa"/>
            </w:tcMar>
            <w:vAlign w:val="center"/>
          </w:tcPr>
          <w:p w14:paraId="11D14B9C">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val="zh-CN"/>
              </w:rPr>
              <w:t>Day6</w:t>
            </w:r>
          </w:p>
        </w:tc>
        <w:tc>
          <w:tcPr>
            <w:tcW w:w="7461" w:type="dxa"/>
            <w:shd w:val="clear" w:color="auto" w:fill="auto"/>
            <w:tcMar>
              <w:top w:w="80" w:type="dxa"/>
              <w:left w:w="80" w:type="dxa"/>
              <w:bottom w:w="80" w:type="dxa"/>
              <w:right w:w="80" w:type="dxa"/>
            </w:tcMar>
            <w:vAlign w:val="top"/>
          </w:tcPr>
          <w:p w14:paraId="6F126F9D">
            <w:pPr>
              <w:pStyle w:val="10"/>
              <w:rPr>
                <w:rFonts w:hint="eastAsia" w:ascii="楷体_GB2312" w:hAnsi="楷体_GB2312" w:eastAsia="楷体_GB2312" w:cs="楷体_GB2312"/>
                <w:b w:val="0"/>
                <w:i w:val="0"/>
                <w:color w:val="000000"/>
                <w:sz w:val="24"/>
                <w:szCs w:val="24"/>
                <w:highlight w:val="none"/>
                <w:lang w:val="zh-CN"/>
              </w:rPr>
            </w:pPr>
            <w:r>
              <w:rPr>
                <w:rFonts w:hint="eastAsia" w:ascii="楷体_GB2312" w:hAnsi="楷体_GB2312" w:eastAsia="楷体_GB2312" w:cs="楷体_GB2312"/>
                <w:b w:val="0"/>
                <w:bCs/>
                <w:i w:val="0"/>
                <w:color w:val="000000"/>
                <w:sz w:val="24"/>
                <w:szCs w:val="24"/>
                <w:highlight w:val="none"/>
                <w:lang w:val="zh-CN"/>
              </w:rPr>
              <w:t>结业专案报告</w:t>
            </w:r>
          </w:p>
        </w:tc>
      </w:tr>
      <w:tr w14:paraId="11A7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892" w:type="dxa"/>
            <w:shd w:val="clear" w:color="auto" w:fill="auto"/>
            <w:tcMar>
              <w:top w:w="80" w:type="dxa"/>
              <w:left w:w="80" w:type="dxa"/>
              <w:bottom w:w="80" w:type="dxa"/>
              <w:right w:w="80" w:type="dxa"/>
            </w:tcMar>
            <w:vAlign w:val="center"/>
          </w:tcPr>
          <w:p w14:paraId="3199571E">
            <w:pPr>
              <w:pStyle w:val="10"/>
              <w:jc w:val="center"/>
              <w:rPr>
                <w:rFonts w:hint="eastAsia" w:ascii="楷体_GB2312" w:hAnsi="楷体_GB2312" w:eastAsia="楷体_GB2312" w:cs="楷体_GB2312"/>
                <w:b w:val="0"/>
                <w:i w:val="0"/>
                <w:sz w:val="24"/>
                <w:szCs w:val="24"/>
                <w:highlight w:val="none"/>
              </w:rPr>
            </w:pPr>
            <w:r>
              <w:rPr>
                <w:rFonts w:hint="eastAsia" w:ascii="楷体_GB2312" w:hAnsi="楷体_GB2312" w:eastAsia="楷体_GB2312" w:cs="楷体_GB2312"/>
                <w:b w:val="0"/>
                <w:i w:val="0"/>
                <w:color w:val="47494B"/>
                <w:sz w:val="24"/>
                <w:szCs w:val="24"/>
                <w:highlight w:val="none"/>
                <w:lang w:eastAsia="zh-TW"/>
              </w:rPr>
              <w:t>Day7</w:t>
            </w:r>
          </w:p>
        </w:tc>
        <w:tc>
          <w:tcPr>
            <w:tcW w:w="7461" w:type="dxa"/>
            <w:shd w:val="clear" w:color="auto" w:fill="auto"/>
            <w:tcMar>
              <w:top w:w="80" w:type="dxa"/>
              <w:left w:w="80" w:type="dxa"/>
              <w:bottom w:w="80" w:type="dxa"/>
              <w:right w:w="80" w:type="dxa"/>
            </w:tcMar>
            <w:vAlign w:val="top"/>
          </w:tcPr>
          <w:p w14:paraId="6F90F5CA">
            <w:pPr>
              <w:pStyle w:val="10"/>
              <w:rPr>
                <w:rFonts w:hint="eastAsia" w:ascii="楷体_GB2312" w:hAnsi="楷体_GB2312" w:eastAsia="楷体_GB2312" w:cs="楷体_GB2312"/>
                <w:b w:val="0"/>
                <w:bCs/>
                <w:i w:val="0"/>
                <w:color w:val="000000"/>
                <w:sz w:val="24"/>
                <w:szCs w:val="24"/>
                <w:highlight w:val="none"/>
                <w:lang w:val="en-US" w:eastAsia="zh-CN"/>
              </w:rPr>
            </w:pPr>
            <w:r>
              <w:rPr>
                <w:rFonts w:hint="eastAsia" w:ascii="楷体_GB2312" w:hAnsi="楷体_GB2312" w:eastAsia="楷体_GB2312" w:cs="楷体_GB2312"/>
                <w:b w:val="0"/>
                <w:bCs/>
                <w:i w:val="0"/>
                <w:color w:val="000000"/>
                <w:sz w:val="24"/>
                <w:szCs w:val="24"/>
                <w:highlight w:val="none"/>
                <w:lang w:val="en-US" w:eastAsia="zh-CN"/>
              </w:rPr>
              <w:t>文化生活体验</w:t>
            </w:r>
          </w:p>
        </w:tc>
      </w:tr>
      <w:tr w14:paraId="27E5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 w:hRule="atLeast"/>
          <w:jc w:val="center"/>
        </w:trPr>
        <w:tc>
          <w:tcPr>
            <w:tcW w:w="892" w:type="dxa"/>
            <w:shd w:val="clear" w:color="auto" w:fill="auto"/>
            <w:tcMar>
              <w:top w:w="80" w:type="dxa"/>
              <w:left w:w="80" w:type="dxa"/>
              <w:bottom w:w="80" w:type="dxa"/>
              <w:right w:w="80" w:type="dxa"/>
            </w:tcMar>
            <w:vAlign w:val="center"/>
          </w:tcPr>
          <w:p w14:paraId="2F3AFDC9">
            <w:pPr>
              <w:pStyle w:val="10"/>
              <w:jc w:val="center"/>
              <w:rPr>
                <w:rFonts w:hint="eastAsia" w:ascii="楷体_GB2312" w:hAnsi="楷体_GB2312" w:eastAsia="楷体_GB2312" w:cs="楷体_GB2312"/>
                <w:b w:val="0"/>
                <w:i w:val="0"/>
                <w:color w:val="000000"/>
                <w:sz w:val="24"/>
                <w:szCs w:val="24"/>
                <w:highlight w:val="none"/>
                <w:lang w:val="en-US" w:eastAsia="zh-CN"/>
              </w:rPr>
            </w:pPr>
            <w:r>
              <w:rPr>
                <w:rFonts w:hint="eastAsia" w:ascii="楷体_GB2312" w:hAnsi="楷体_GB2312" w:eastAsia="楷体_GB2312" w:cs="楷体_GB2312"/>
                <w:b w:val="0"/>
                <w:i w:val="0"/>
                <w:color w:val="000000"/>
                <w:sz w:val="24"/>
                <w:szCs w:val="24"/>
                <w:highlight w:val="none"/>
                <w:lang w:val="zh-CN"/>
              </w:rPr>
              <w:t>Day</w:t>
            </w:r>
            <w:r>
              <w:rPr>
                <w:rFonts w:hint="eastAsia" w:ascii="楷体_GB2312" w:hAnsi="楷体_GB2312" w:eastAsia="楷体_GB2312" w:cs="楷体_GB2312"/>
                <w:b w:val="0"/>
                <w:i w:val="0"/>
                <w:color w:val="000000"/>
                <w:sz w:val="24"/>
                <w:szCs w:val="24"/>
                <w:highlight w:val="none"/>
                <w:lang w:val="en-US" w:eastAsia="zh-CN"/>
              </w:rPr>
              <w:t>8</w:t>
            </w:r>
          </w:p>
        </w:tc>
        <w:tc>
          <w:tcPr>
            <w:tcW w:w="7461" w:type="dxa"/>
            <w:shd w:val="clear" w:color="auto" w:fill="auto"/>
            <w:tcMar>
              <w:top w:w="80" w:type="dxa"/>
              <w:left w:w="80" w:type="dxa"/>
              <w:bottom w:w="80" w:type="dxa"/>
              <w:right w:w="80" w:type="dxa"/>
            </w:tcMar>
            <w:vAlign w:val="top"/>
          </w:tcPr>
          <w:p w14:paraId="19D203EB">
            <w:pPr>
              <w:pStyle w:val="10"/>
              <w:rPr>
                <w:rFonts w:hint="eastAsia" w:ascii="楷体_GB2312" w:hAnsi="楷体_GB2312" w:eastAsia="楷体_GB2312" w:cs="楷体_GB2312"/>
                <w:b w:val="0"/>
                <w:bCs/>
                <w:i w:val="0"/>
                <w:color w:val="000000"/>
                <w:sz w:val="24"/>
                <w:szCs w:val="24"/>
                <w:highlight w:val="none"/>
                <w:lang w:val="zh-CN"/>
              </w:rPr>
            </w:pPr>
            <w:r>
              <w:rPr>
                <w:rFonts w:hint="eastAsia" w:ascii="楷体_GB2312" w:hAnsi="楷体_GB2312" w:eastAsia="楷体_GB2312" w:cs="楷体_GB2312"/>
                <w:b w:val="0"/>
                <w:bCs/>
                <w:i w:val="0"/>
                <w:color w:val="000000"/>
                <w:sz w:val="24"/>
                <w:szCs w:val="24"/>
                <w:highlight w:val="none"/>
                <w:lang w:val="zh-CN"/>
              </w:rPr>
              <w:t>离港返程（</w:t>
            </w:r>
            <w:r>
              <w:rPr>
                <w:rFonts w:hint="eastAsia" w:ascii="楷体_GB2312" w:hAnsi="楷体_GB2312" w:eastAsia="楷体_GB2312" w:cs="楷体_GB2312"/>
                <w:b w:val="0"/>
                <w:bCs/>
                <w:i w:val="0"/>
                <w:color w:val="000000"/>
                <w:sz w:val="24"/>
                <w:szCs w:val="24"/>
                <w:highlight w:val="none"/>
                <w:lang w:val="en-US" w:eastAsia="zh-CN"/>
              </w:rPr>
              <w:t>送：香港机场、香港西九龙）</w:t>
            </w:r>
          </w:p>
        </w:tc>
      </w:tr>
      <w:tr w14:paraId="0340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jc w:val="center"/>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F142">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outlineLvl w:val="9"/>
              <w:rPr>
                <w:rFonts w:hint="eastAsia" w:ascii="楷体_GB2312" w:hAnsi="楷体_GB2312" w:eastAsia="楷体_GB2312" w:cs="楷体_GB2312"/>
                <w:b w:val="0"/>
                <w:bCs w:val="0"/>
                <w:i w:val="0"/>
                <w:color w:val="000000"/>
                <w:sz w:val="24"/>
                <w:szCs w:val="24"/>
                <w:highlight w:val="none"/>
                <w:u w:val="none"/>
              </w:rPr>
            </w:pPr>
          </w:p>
        </w:tc>
        <w:tc>
          <w:tcPr>
            <w:tcW w:w="7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618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right"/>
              <w:textAlignment w:val="center"/>
              <w:outlineLvl w:val="9"/>
              <w:rPr>
                <w:rFonts w:hint="eastAsia" w:ascii="楷体_GB2312" w:hAnsi="楷体_GB2312" w:eastAsia="楷体_GB2312" w:cs="楷体_GB2312"/>
                <w:b w:val="0"/>
                <w:bCs w:val="0"/>
                <w:i w:val="0"/>
                <w:color w:val="47494B"/>
                <w:sz w:val="24"/>
                <w:szCs w:val="24"/>
                <w:highlight w:val="none"/>
                <w:u w:val="none"/>
              </w:rPr>
            </w:pPr>
            <w:r>
              <w:rPr>
                <w:rFonts w:hint="eastAsia" w:ascii="楷体_GB2312" w:hAnsi="楷体_GB2312" w:eastAsia="楷体_GB2312" w:cs="楷体_GB2312"/>
                <w:b w:val="0"/>
                <w:bCs w:val="0"/>
                <w:i w:val="0"/>
                <w:color w:val="47494B"/>
                <w:kern w:val="0"/>
                <w:sz w:val="24"/>
                <w:szCs w:val="24"/>
                <w:highlight w:val="none"/>
                <w:u w:val="none"/>
                <w:lang w:val="en-US" w:eastAsia="zh-CN" w:bidi="ar"/>
              </w:rPr>
              <w:t>*往期项目课程安排，具体以实际为准</w:t>
            </w:r>
          </w:p>
        </w:tc>
      </w:tr>
    </w:tbl>
    <w:p w14:paraId="2C3844EE">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37566591">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一站式服务方式</w:t>
      </w:r>
      <w:r>
        <w:rPr>
          <w:rFonts w:hint="eastAsia" w:ascii="仿宋_GB2312" w:hAnsi="仿宋_GB2312" w:eastAsia="仿宋_GB2312" w:cs="仿宋_GB2312"/>
          <w:sz w:val="28"/>
          <w:szCs w:val="28"/>
          <w:lang w:val="en-US" w:eastAsia="zh-CN"/>
        </w:rPr>
        <w:t>：项目将由经验丰富的领队全程陪同，对学生全方位的管理和陪伴。领队会确保团组的安全，并在日常学习和生活中提供必要的指导和协助。同时，项目组在出发前为每位学员购买境外险，并给予学员行前指导，确保充分了解交流期间的相关注意事项。</w:t>
      </w:r>
    </w:p>
    <w:p w14:paraId="41186C4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住宿安排</w:t>
      </w:r>
      <w:r>
        <w:rPr>
          <w:rFonts w:hint="eastAsia" w:ascii="仿宋_GB2312" w:hAnsi="仿宋_GB2312" w:eastAsia="仿宋_GB2312" w:cs="仿宋_GB2312"/>
          <w:sz w:val="28"/>
          <w:szCs w:val="28"/>
          <w:lang w:val="en-US" w:eastAsia="zh-CN"/>
        </w:rPr>
        <w:t>：入住酒店标准双人间，按照性别分配房间，1人1床；配有独立卫浴、空调、上网设施等。</w:t>
      </w:r>
    </w:p>
    <w:p w14:paraId="48B5C9A0">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餐食安排</w:t>
      </w:r>
      <w:r>
        <w:rPr>
          <w:rFonts w:hint="eastAsia" w:ascii="仿宋_GB2312" w:hAnsi="仿宋_GB2312" w:eastAsia="仿宋_GB2312" w:cs="仿宋_GB2312"/>
          <w:sz w:val="28"/>
          <w:szCs w:val="28"/>
          <w:lang w:val="en-US" w:eastAsia="zh-CN"/>
        </w:rPr>
        <w:t>：三餐费用自理。早餐：一般在酒店附近或香港大学学生餐厅用餐；午餐：在香港大学学生餐厅用餐；晚餐：一般在市区或酒店附近用餐。</w:t>
      </w:r>
    </w:p>
    <w:p w14:paraId="129B678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交通安排</w:t>
      </w:r>
      <w:r>
        <w:rPr>
          <w:rFonts w:hint="eastAsia" w:ascii="仿宋_GB2312" w:hAnsi="仿宋_GB2312" w:eastAsia="仿宋_GB2312" w:cs="仿宋_GB2312"/>
          <w:sz w:val="28"/>
          <w:szCs w:val="28"/>
          <w:lang w:val="en-US" w:eastAsia="zh-CN"/>
        </w:rPr>
        <w:t>：安排香港机场和香港西九龙的往返酒店的接机和送机，课程及参访均会安排大巴接送。课余时间，学员可搭乘香港便捷的公共交通。</w:t>
      </w:r>
    </w:p>
    <w:p w14:paraId="7A896CD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物料配备</w:t>
      </w:r>
      <w:r>
        <w:rPr>
          <w:rFonts w:hint="eastAsia" w:ascii="仿宋_GB2312" w:hAnsi="仿宋_GB2312" w:eastAsia="仿宋_GB2312" w:cs="仿宋_GB2312"/>
          <w:sz w:val="28"/>
          <w:szCs w:val="28"/>
          <w:lang w:val="en-US" w:eastAsia="zh-CN"/>
        </w:rPr>
        <w:t>：横幅、胸牌、文具、手袋等。</w:t>
      </w:r>
    </w:p>
    <w:p w14:paraId="0C65531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b/>
          <w:bCs/>
          <w:sz w:val="28"/>
          <w:szCs w:val="28"/>
          <w:lang w:val="en-US" w:eastAsia="zh-CN"/>
        </w:rPr>
        <w:t>办证事宜</w:t>
      </w:r>
      <w:r>
        <w:rPr>
          <w:rFonts w:hint="eastAsia" w:ascii="仿宋_GB2312" w:hAnsi="仿宋_GB2312" w:eastAsia="仿宋_GB2312" w:cs="仿宋_GB2312"/>
          <w:sz w:val="28"/>
          <w:szCs w:val="28"/>
          <w:lang w:val="en-US" w:eastAsia="zh-CN"/>
        </w:rPr>
        <w:t>：项目组将指导学员办理港澳通行证及签注。</w:t>
      </w:r>
    </w:p>
    <w:p w14:paraId="0D7B0B70">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2542835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390903F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23DC05E3">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12A4B5E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0FB221FD">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00D7D452">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423756F9">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345D2721">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7E1DF583">
      <w:pPr>
        <w:keepNext w:val="0"/>
        <w:keepLines w:val="0"/>
        <w:pageBreakBefore w:val="0"/>
        <w:numPr>
          <w:ilvl w:val="0"/>
          <w:numId w:val="1"/>
        </w:numPr>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澳门大学-生命科学与前沿医学研修项目</w:t>
      </w:r>
    </w:p>
    <w:p w14:paraId="2146F593">
      <w:pPr>
        <w:keepNext w:val="0"/>
        <w:keepLines w:val="0"/>
        <w:pageBreakBefore w:val="0"/>
        <w:numPr>
          <w:ilvl w:val="0"/>
          <w:numId w:val="0"/>
        </w:numPr>
        <w:kinsoku/>
        <w:wordWrap/>
        <w:overflowPunct/>
        <w:topLinePunct w:val="0"/>
        <w:autoSpaceDE/>
        <w:autoSpaceDN/>
        <w:bidi w:val="0"/>
        <w:adjustRightInd/>
        <w:snapToGrid/>
        <w:spacing w:line="440" w:lineRule="exact"/>
        <w:ind w:leftChars="0" w:right="0" w:rightChars="0"/>
        <w:jc w:val="both"/>
        <w:outlineLvl w:val="9"/>
        <w:rPr>
          <w:rFonts w:hint="eastAsia" w:ascii="黑体" w:hAnsi="黑体" w:eastAsia="黑体" w:cs="黑体"/>
          <w:b/>
          <w:bCs/>
          <w:sz w:val="28"/>
          <w:szCs w:val="28"/>
          <w:lang w:val="en-US" w:eastAsia="zh-CN"/>
        </w:rPr>
      </w:pPr>
    </w:p>
    <w:p w14:paraId="7076D610">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lang w:val="en-US" w:eastAsia="zh-CN"/>
        </w:rPr>
        <w:t>项目特色：</w:t>
      </w:r>
      <w:r>
        <w:rPr>
          <w:rFonts w:hint="eastAsia" w:ascii="仿宋_GB2312" w:hAnsi="仿宋_GB2312" w:eastAsia="仿宋_GB2312" w:cs="仿宋_GB2312"/>
          <w:b w:val="0"/>
          <w:bCs w:val="0"/>
          <w:color w:val="auto"/>
          <w:spacing w:val="15"/>
          <w:sz w:val="28"/>
          <w:szCs w:val="28"/>
          <w:shd w:val="clear" w:color="auto" w:fill="FFFFFF"/>
          <w:lang w:val="en-US" w:eastAsia="zh-CN"/>
        </w:rPr>
        <w:t>本项目面向生物医学等相关专业学生精准设计，依托澳门大学生物医学领域的国家级科研平台与国际化师资体系，课程系统覆盖生物医学前沿基础、创新药物研发逻辑、中西医融合创新路径、精准肿瘤学前沿进展、干细胞与再生医学五大核心方向。学员深度研修中完成前沿研究方向的系统性校准，同时直接对接由澳大教授、青年科研学者、临床医师与生物医药产业骨干共同组成的长期同行网络，为后续学术深造、临床进阶与产业发展搭建高起点资源通道。</w:t>
      </w:r>
    </w:p>
    <w:p w14:paraId="3ECBD93E">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rPr>
        <w:t>项目时间</w:t>
      </w:r>
      <w:r>
        <w:rPr>
          <w:rFonts w:hint="eastAsia" w:ascii="仿宋_GB2312" w:hAnsi="仿宋_GB2312" w:eastAsia="仿宋_GB2312" w:cs="仿宋_GB2312"/>
          <w:b w:val="0"/>
          <w:bCs w:val="0"/>
          <w:color w:val="auto"/>
          <w:spacing w:val="15"/>
          <w:sz w:val="28"/>
          <w:szCs w:val="28"/>
          <w:shd w:val="clear" w:color="auto" w:fill="FFFFFF"/>
          <w:lang w:eastAsia="zh-CN"/>
        </w:rPr>
        <w:t>：</w:t>
      </w:r>
      <w:r>
        <w:rPr>
          <w:rFonts w:hint="eastAsia" w:ascii="仿宋_GB2312" w:hAnsi="仿宋_GB2312" w:eastAsia="仿宋_GB2312" w:cs="仿宋_GB2312"/>
          <w:b w:val="0"/>
          <w:bCs w:val="0"/>
          <w:color w:val="auto"/>
          <w:spacing w:val="15"/>
          <w:sz w:val="28"/>
          <w:szCs w:val="28"/>
          <w:shd w:val="clear" w:color="auto" w:fill="FFFFFF"/>
          <w:lang w:val="en-US" w:eastAsia="zh-CN"/>
        </w:rPr>
        <w:t>2027年1月24-30日，为期7天</w:t>
      </w:r>
    </w:p>
    <w:p w14:paraId="41BD1ED2">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lang w:val="en-US" w:eastAsia="zh-CN"/>
        </w:rPr>
        <w:t>项目人数</w:t>
      </w:r>
      <w:r>
        <w:rPr>
          <w:rFonts w:hint="eastAsia" w:ascii="仿宋_GB2312" w:hAnsi="仿宋_GB2312" w:eastAsia="仿宋_GB2312" w:cs="仿宋_GB2312"/>
          <w:b w:val="0"/>
          <w:bCs w:val="0"/>
          <w:color w:val="auto"/>
          <w:spacing w:val="15"/>
          <w:sz w:val="28"/>
          <w:szCs w:val="28"/>
          <w:shd w:val="clear" w:color="auto" w:fill="FFFFFF"/>
        </w:rPr>
        <w:t>：</w:t>
      </w:r>
      <w:r>
        <w:rPr>
          <w:rFonts w:hint="eastAsia" w:ascii="仿宋_GB2312" w:hAnsi="仿宋_GB2312" w:eastAsia="仿宋_GB2312" w:cs="仿宋_GB2312"/>
          <w:b w:val="0"/>
          <w:bCs w:val="0"/>
          <w:color w:val="auto"/>
          <w:spacing w:val="15"/>
          <w:sz w:val="28"/>
          <w:szCs w:val="28"/>
          <w:shd w:val="clear" w:color="auto" w:fill="FFFFFF"/>
          <w:lang w:val="en-US" w:eastAsia="zh-CN"/>
        </w:rPr>
        <w:t>不超过40人</w:t>
      </w:r>
    </w:p>
    <w:p w14:paraId="4DA9F805">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lang w:val="en-US" w:eastAsia="zh-CN"/>
        </w:rPr>
        <w:t>授课</w:t>
      </w:r>
      <w:r>
        <w:rPr>
          <w:rFonts w:hint="eastAsia" w:ascii="仿宋_GB2312" w:hAnsi="仿宋_GB2312" w:eastAsia="仿宋_GB2312" w:cs="仿宋_GB2312"/>
          <w:b/>
          <w:bCs/>
          <w:color w:val="auto"/>
          <w:spacing w:val="15"/>
          <w:sz w:val="28"/>
          <w:szCs w:val="28"/>
          <w:shd w:val="clear" w:color="auto" w:fill="FFFFFF"/>
        </w:rPr>
        <w:t>地点</w:t>
      </w:r>
      <w:r>
        <w:rPr>
          <w:rFonts w:hint="eastAsia" w:ascii="仿宋_GB2312" w:hAnsi="仿宋_GB2312" w:eastAsia="仿宋_GB2312" w:cs="仿宋_GB2312"/>
          <w:b w:val="0"/>
          <w:bCs w:val="0"/>
          <w:color w:val="auto"/>
          <w:spacing w:val="15"/>
          <w:sz w:val="28"/>
          <w:szCs w:val="28"/>
          <w:shd w:val="clear" w:color="auto" w:fill="FFFFFF"/>
        </w:rPr>
        <w:t>：</w:t>
      </w:r>
      <w:r>
        <w:rPr>
          <w:rFonts w:hint="eastAsia" w:ascii="仿宋_GB2312" w:hAnsi="仿宋_GB2312" w:eastAsia="仿宋_GB2312" w:cs="仿宋_GB2312"/>
          <w:b w:val="0"/>
          <w:bCs w:val="0"/>
          <w:color w:val="auto"/>
          <w:spacing w:val="15"/>
          <w:sz w:val="28"/>
          <w:szCs w:val="28"/>
          <w:shd w:val="clear" w:color="auto" w:fill="FFFFFF"/>
          <w:lang w:val="en-US" w:eastAsia="zh-CN"/>
        </w:rPr>
        <w:t>澳门大学</w:t>
      </w:r>
    </w:p>
    <w:p w14:paraId="1E9749BB">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rPr>
        <w:t>授课语言</w:t>
      </w:r>
      <w:r>
        <w:rPr>
          <w:rFonts w:hint="eastAsia" w:ascii="仿宋_GB2312" w:hAnsi="仿宋_GB2312" w:eastAsia="仿宋_GB2312" w:cs="仿宋_GB2312"/>
          <w:b w:val="0"/>
          <w:bCs w:val="0"/>
          <w:color w:val="auto"/>
          <w:spacing w:val="15"/>
          <w:sz w:val="28"/>
          <w:szCs w:val="28"/>
          <w:shd w:val="clear" w:color="auto" w:fill="FFFFFF"/>
        </w:rPr>
        <w:t>：</w:t>
      </w:r>
      <w:r>
        <w:rPr>
          <w:rFonts w:hint="eastAsia" w:ascii="仿宋_GB2312" w:hAnsi="仿宋_GB2312" w:eastAsia="仿宋_GB2312" w:cs="仿宋_GB2312"/>
          <w:b w:val="0"/>
          <w:bCs w:val="0"/>
          <w:color w:val="auto"/>
          <w:spacing w:val="15"/>
          <w:sz w:val="28"/>
          <w:szCs w:val="28"/>
          <w:shd w:val="clear" w:color="auto" w:fill="FFFFFF"/>
          <w:lang w:val="en-US" w:eastAsia="zh-CN"/>
        </w:rPr>
        <w:t>中文</w:t>
      </w:r>
    </w:p>
    <w:p w14:paraId="7FFDECC1">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lang w:val="en-US" w:eastAsia="zh-CN"/>
        </w:rPr>
        <w:t>报名条件</w:t>
      </w:r>
      <w:r>
        <w:rPr>
          <w:rFonts w:hint="eastAsia" w:ascii="仿宋_GB2312" w:hAnsi="仿宋_GB2312" w:eastAsia="仿宋_GB2312" w:cs="仿宋_GB2312"/>
          <w:b w:val="0"/>
          <w:bCs w:val="0"/>
          <w:color w:val="auto"/>
          <w:spacing w:val="15"/>
          <w:sz w:val="28"/>
          <w:szCs w:val="28"/>
          <w:shd w:val="clear" w:color="auto" w:fill="FFFFFF"/>
          <w:lang w:val="en-US" w:eastAsia="zh-CN"/>
        </w:rPr>
        <w:t>：生物医学相关专业全日制在读本科生、研究生；思想政治品德良好，遵纪守法，在校期间未受过纪律处分，身心健康。</w:t>
      </w:r>
    </w:p>
    <w:p w14:paraId="05CFB455">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rPr>
        <w:t>项目费用</w:t>
      </w:r>
      <w:r>
        <w:rPr>
          <w:rFonts w:hint="eastAsia" w:ascii="仿宋_GB2312" w:hAnsi="仿宋_GB2312" w:eastAsia="仿宋_GB2312" w:cs="仿宋_GB2312"/>
          <w:b w:val="0"/>
          <w:bCs w:val="0"/>
          <w:color w:val="auto"/>
          <w:spacing w:val="15"/>
          <w:sz w:val="28"/>
          <w:szCs w:val="28"/>
          <w:shd w:val="clear" w:color="auto" w:fill="FFFFFF"/>
        </w:rPr>
        <w:t>：</w:t>
      </w:r>
      <w:r>
        <w:rPr>
          <w:rFonts w:hint="eastAsia" w:ascii="仿宋_GB2312" w:hAnsi="仿宋_GB2312" w:eastAsia="仿宋_GB2312" w:cs="仿宋_GB2312"/>
          <w:b w:val="0"/>
          <w:bCs w:val="0"/>
          <w:color w:val="auto"/>
          <w:spacing w:val="15"/>
          <w:sz w:val="28"/>
          <w:szCs w:val="28"/>
          <w:shd w:val="clear" w:color="auto" w:fill="FFFFFF"/>
          <w:lang w:val="en-US" w:eastAsia="zh-CN"/>
        </w:rPr>
        <w:t>7,800元人民币/人。费用包含：包含课程费、医疗机构参观费、行政管理费，交通费（课程学习机构参观部分）、住宿费（星级酒店标准双人间）、境外保险费等。自行承担费用：往返澳门交通费、澳门机场⇋酒店交通费、餐饮费、港澳通行证办理及签注费、行程外费用等。</w:t>
      </w:r>
    </w:p>
    <w:p w14:paraId="089CBE3C">
      <w:pPr>
        <w:pStyle w:val="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仿宋_GB2312" w:hAnsi="仿宋_GB2312" w:eastAsia="仿宋_GB2312" w:cs="仿宋_GB2312"/>
          <w:b w:val="0"/>
          <w:bCs w:val="0"/>
          <w:color w:val="auto"/>
          <w:spacing w:val="15"/>
          <w:sz w:val="28"/>
          <w:szCs w:val="28"/>
          <w:shd w:val="clear" w:color="auto" w:fill="FFFFFF"/>
          <w:lang w:val="en-US" w:eastAsia="zh-CN"/>
        </w:rPr>
      </w:pPr>
      <w:r>
        <w:rPr>
          <w:rFonts w:hint="eastAsia" w:ascii="仿宋_GB2312" w:hAnsi="仿宋_GB2312" w:eastAsia="仿宋_GB2312" w:cs="仿宋_GB2312"/>
          <w:b/>
          <w:bCs/>
          <w:color w:val="auto"/>
          <w:spacing w:val="15"/>
          <w:sz w:val="28"/>
          <w:szCs w:val="28"/>
          <w:shd w:val="clear" w:color="auto" w:fill="FFFFFF"/>
          <w:lang w:val="en-US" w:eastAsia="zh-CN"/>
        </w:rPr>
        <w:t>项目证书</w:t>
      </w:r>
      <w:r>
        <w:rPr>
          <w:rFonts w:hint="eastAsia" w:ascii="仿宋_GB2312" w:hAnsi="仿宋_GB2312" w:eastAsia="仿宋_GB2312" w:cs="仿宋_GB2312"/>
          <w:b w:val="0"/>
          <w:bCs w:val="0"/>
          <w:color w:val="auto"/>
          <w:spacing w:val="15"/>
          <w:sz w:val="28"/>
          <w:szCs w:val="28"/>
          <w:shd w:val="clear" w:color="auto" w:fill="FFFFFF"/>
          <w:lang w:val="en-US" w:eastAsia="zh-CN"/>
        </w:rPr>
        <w:t>：由澳门大学主办学院颁发结业证书</w:t>
      </w:r>
    </w:p>
    <w:tbl>
      <w:tblPr>
        <w:tblStyle w:val="4"/>
        <w:tblpPr w:leftFromText="180" w:rightFromText="180" w:vertAnchor="text" w:horzAnchor="page" w:tblpX="1774" w:tblpY="631"/>
        <w:tblOverlap w:val="never"/>
        <w:tblW w:w="8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5"/>
        <w:gridCol w:w="7610"/>
      </w:tblGrid>
      <w:tr w14:paraId="252D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4" w:hRule="atLeast"/>
        </w:trPr>
        <w:tc>
          <w:tcPr>
            <w:tcW w:w="755" w:type="dxa"/>
            <w:shd w:val="clear" w:color="auto" w:fill="auto"/>
            <w:tcMar>
              <w:top w:w="80" w:type="dxa"/>
              <w:left w:w="80" w:type="dxa"/>
              <w:bottom w:w="80" w:type="dxa"/>
              <w:right w:w="80" w:type="dxa"/>
            </w:tcMar>
            <w:vAlign w:val="center"/>
          </w:tcPr>
          <w:p w14:paraId="535002ED">
            <w:pPr>
              <w:pStyle w:val="10"/>
              <w:jc w:val="center"/>
              <w:rPr>
                <w:rFonts w:hint="eastAsia" w:ascii="楷体_GB2312" w:hAnsi="楷体_GB2312" w:eastAsia="楷体_GB2312" w:cs="楷体_GB2312"/>
                <w:b/>
                <w:bCs/>
                <w:i w:val="0"/>
                <w:color w:val="auto"/>
                <w:sz w:val="24"/>
                <w:szCs w:val="24"/>
                <w:lang w:val="zh-TW" w:eastAsia="zh-TW"/>
              </w:rPr>
            </w:pPr>
            <w:r>
              <w:rPr>
                <w:rFonts w:hint="eastAsia" w:ascii="楷体_GB2312" w:hAnsi="楷体_GB2312" w:eastAsia="楷体_GB2312" w:cs="楷体_GB2312"/>
                <w:b/>
                <w:bCs/>
                <w:i w:val="0"/>
                <w:color w:val="auto"/>
                <w:sz w:val="24"/>
                <w:szCs w:val="24"/>
                <w:lang w:val="zh-TW" w:eastAsia="zh-TW"/>
              </w:rPr>
              <w:t>时间</w:t>
            </w:r>
          </w:p>
        </w:tc>
        <w:tc>
          <w:tcPr>
            <w:tcW w:w="7610" w:type="dxa"/>
            <w:shd w:val="clear" w:color="auto" w:fill="auto"/>
            <w:tcMar>
              <w:top w:w="80" w:type="dxa"/>
              <w:left w:w="80" w:type="dxa"/>
              <w:bottom w:w="80" w:type="dxa"/>
              <w:right w:w="80" w:type="dxa"/>
            </w:tcMar>
            <w:vAlign w:val="center"/>
          </w:tcPr>
          <w:p w14:paraId="0EB3E967">
            <w:pPr>
              <w:pStyle w:val="10"/>
              <w:jc w:val="center"/>
              <w:rPr>
                <w:rFonts w:hint="eastAsia" w:ascii="楷体_GB2312" w:hAnsi="楷体_GB2312" w:eastAsia="楷体_GB2312" w:cs="楷体_GB2312"/>
                <w:b/>
                <w:bCs/>
                <w:i w:val="0"/>
                <w:color w:val="auto"/>
                <w:sz w:val="24"/>
                <w:szCs w:val="24"/>
                <w:lang w:val="zh-TW"/>
              </w:rPr>
            </w:pPr>
            <w:r>
              <w:rPr>
                <w:rFonts w:hint="eastAsia" w:ascii="楷体_GB2312" w:hAnsi="楷体_GB2312" w:eastAsia="楷体_GB2312" w:cs="楷体_GB2312"/>
                <w:b/>
                <w:bCs/>
                <w:i w:val="0"/>
                <w:color w:val="auto"/>
                <w:sz w:val="24"/>
                <w:szCs w:val="24"/>
                <w:lang w:val="zh-TW"/>
              </w:rPr>
              <w:t>课程安排</w:t>
            </w:r>
          </w:p>
        </w:tc>
      </w:tr>
      <w:tr w14:paraId="0544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755" w:type="dxa"/>
            <w:shd w:val="clear" w:color="auto" w:fill="auto"/>
            <w:tcMar>
              <w:top w:w="80" w:type="dxa"/>
              <w:left w:w="80" w:type="dxa"/>
              <w:bottom w:w="80" w:type="dxa"/>
              <w:right w:w="80" w:type="dxa"/>
            </w:tcMar>
            <w:vAlign w:val="center"/>
          </w:tcPr>
          <w:p w14:paraId="02B8DAAD">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highlight w:val="none"/>
                <w:lang w:eastAsia="zh-TW"/>
              </w:rPr>
              <w:t>Day1</w:t>
            </w:r>
          </w:p>
        </w:tc>
        <w:tc>
          <w:tcPr>
            <w:tcW w:w="7610" w:type="dxa"/>
            <w:shd w:val="clear" w:color="auto" w:fill="auto"/>
            <w:tcMar>
              <w:top w:w="80" w:type="dxa"/>
              <w:left w:w="80" w:type="dxa"/>
              <w:bottom w:w="80" w:type="dxa"/>
              <w:right w:w="80" w:type="dxa"/>
            </w:tcMar>
            <w:vAlign w:val="center"/>
          </w:tcPr>
          <w:p w14:paraId="1139A614">
            <w:pPr>
              <w:pStyle w:val="10"/>
              <w:rPr>
                <w:rFonts w:hint="eastAsia" w:ascii="楷体_GB2312" w:hAnsi="楷体_GB2312" w:eastAsia="楷体_GB2312" w:cs="楷体_GB2312"/>
                <w:b w:val="0"/>
                <w:bCs/>
                <w:i w:val="0"/>
                <w:color w:val="auto"/>
                <w:sz w:val="24"/>
                <w:szCs w:val="24"/>
                <w:lang w:val="en-US" w:eastAsia="zh-CN"/>
              </w:rPr>
            </w:pPr>
            <w:r>
              <w:rPr>
                <w:rFonts w:hint="eastAsia" w:ascii="楷体_GB2312" w:hAnsi="楷体_GB2312" w:eastAsia="楷体_GB2312" w:cs="楷体_GB2312"/>
                <w:b w:val="0"/>
                <w:bCs/>
                <w:i w:val="0"/>
                <w:color w:val="auto"/>
                <w:sz w:val="24"/>
                <w:szCs w:val="24"/>
                <w:lang w:val="en-US" w:eastAsia="zh-CN"/>
              </w:rPr>
              <w:t>去程，抵澳，入住酒店</w:t>
            </w:r>
          </w:p>
        </w:tc>
      </w:tr>
      <w:tr w14:paraId="51E2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755" w:type="dxa"/>
            <w:shd w:val="clear" w:color="auto" w:fill="auto"/>
            <w:tcMar>
              <w:top w:w="80" w:type="dxa"/>
              <w:left w:w="80" w:type="dxa"/>
              <w:bottom w:w="80" w:type="dxa"/>
              <w:right w:w="80" w:type="dxa"/>
            </w:tcMar>
            <w:vAlign w:val="center"/>
          </w:tcPr>
          <w:p w14:paraId="56CA7CD2">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lang w:val="zh-CN"/>
              </w:rPr>
              <w:t>Day2</w:t>
            </w:r>
          </w:p>
        </w:tc>
        <w:tc>
          <w:tcPr>
            <w:tcW w:w="7610" w:type="dxa"/>
            <w:shd w:val="clear" w:color="auto" w:fill="auto"/>
            <w:tcMar>
              <w:top w:w="80" w:type="dxa"/>
              <w:left w:w="80" w:type="dxa"/>
              <w:bottom w:w="80" w:type="dxa"/>
              <w:right w:w="80" w:type="dxa"/>
            </w:tcMar>
            <w:vAlign w:val="center"/>
          </w:tcPr>
          <w:p w14:paraId="5610B1D7">
            <w:pPr>
              <w:pStyle w:val="10"/>
              <w:rPr>
                <w:rFonts w:hint="eastAsia" w:ascii="楷体_GB2312" w:hAnsi="楷体_GB2312" w:eastAsia="楷体_GB2312" w:cs="楷体_GB2312"/>
                <w:b w:val="0"/>
                <w:bCs w:val="0"/>
                <w:i w:val="0"/>
                <w:color w:val="auto"/>
                <w:sz w:val="24"/>
                <w:szCs w:val="24"/>
                <w:lang w:eastAsia="zh-TW"/>
              </w:rPr>
            </w:pPr>
            <w:r>
              <w:rPr>
                <w:rFonts w:hint="eastAsia" w:ascii="楷体_GB2312" w:hAnsi="楷体_GB2312" w:eastAsia="楷体_GB2312" w:cs="楷体_GB2312"/>
                <w:b w:val="0"/>
                <w:bCs/>
                <w:i w:val="0"/>
                <w:color w:val="auto"/>
                <w:sz w:val="24"/>
                <w:szCs w:val="24"/>
                <w:lang w:eastAsia="zh-TW"/>
              </w:rPr>
              <w:t>开班仪式</w:t>
            </w:r>
            <w:r>
              <w:rPr>
                <w:rFonts w:hint="eastAsia" w:ascii="楷体_GB2312" w:hAnsi="楷体_GB2312" w:eastAsia="楷体_GB2312" w:cs="楷体_GB2312"/>
                <w:b w:val="0"/>
                <w:bCs/>
                <w:i w:val="0"/>
                <w:color w:val="auto"/>
                <w:sz w:val="24"/>
                <w:szCs w:val="24"/>
                <w:lang w:eastAsia="zh-TW"/>
              </w:rPr>
              <w:br w:type="textWrapping"/>
            </w:r>
            <w:r>
              <w:rPr>
                <w:rFonts w:hint="eastAsia" w:ascii="楷体_GB2312" w:hAnsi="楷体_GB2312" w:eastAsia="楷体_GB2312" w:cs="楷体_GB2312"/>
                <w:b w:val="0"/>
                <w:bCs/>
                <w:i w:val="0"/>
                <w:color w:val="auto"/>
                <w:sz w:val="24"/>
                <w:szCs w:val="24"/>
                <w:lang w:eastAsia="zh-TW"/>
              </w:rPr>
              <w:t>课程一：</w:t>
            </w:r>
            <w:r>
              <w:rPr>
                <w:rFonts w:hint="eastAsia" w:ascii="楷体_GB2312" w:hAnsi="楷体_GB2312" w:eastAsia="楷体_GB2312" w:cs="楷体_GB2312"/>
                <w:b w:val="0"/>
                <w:i w:val="0"/>
                <w:color w:val="auto"/>
                <w:sz w:val="24"/>
                <w:szCs w:val="24"/>
                <w:lang w:val="zh-TW" w:eastAsia="zh-TW"/>
              </w:rPr>
              <w:t>课程一：《生物医学科技：生命科学与健康的奥秘》</w:t>
            </w:r>
          </w:p>
          <w:p w14:paraId="192BE74C">
            <w:pPr>
              <w:pStyle w:val="10"/>
              <w:rPr>
                <w:rFonts w:hint="eastAsia" w:ascii="楷体_GB2312" w:hAnsi="楷体_GB2312" w:eastAsia="楷体_GB2312" w:cs="楷体_GB2312"/>
                <w:b w:val="0"/>
                <w:bCs/>
                <w:i w:val="0"/>
                <w:color w:val="auto"/>
                <w:sz w:val="24"/>
                <w:szCs w:val="24"/>
                <w:lang w:val="en-US" w:eastAsia="zh-CN"/>
              </w:rPr>
            </w:pPr>
            <w:r>
              <w:rPr>
                <w:rFonts w:hint="eastAsia" w:ascii="楷体_GB2312" w:hAnsi="楷体_GB2312" w:eastAsia="楷体_GB2312" w:cs="楷体_GB2312"/>
                <w:b w:val="0"/>
                <w:bCs/>
                <w:i w:val="0"/>
                <w:color w:val="auto"/>
                <w:sz w:val="24"/>
                <w:szCs w:val="24"/>
                <w:lang w:val="en-US" w:eastAsia="zh-CN"/>
              </w:rPr>
              <w:t>参访澳门大学 大学图书馆、大学展馆、住宿式书院(学生大使带队)；澳门大学智慧城市物联网全国重点实验室</w:t>
            </w:r>
          </w:p>
        </w:tc>
      </w:tr>
      <w:tr w14:paraId="7486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55" w:type="dxa"/>
            <w:shd w:val="clear" w:color="auto" w:fill="auto"/>
            <w:tcMar>
              <w:top w:w="80" w:type="dxa"/>
              <w:left w:w="80" w:type="dxa"/>
              <w:bottom w:w="80" w:type="dxa"/>
              <w:right w:w="80" w:type="dxa"/>
            </w:tcMar>
            <w:vAlign w:val="center"/>
          </w:tcPr>
          <w:p w14:paraId="716F9768">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highlight w:val="none"/>
                <w:lang w:eastAsia="zh-TW"/>
              </w:rPr>
              <w:t>Day3</w:t>
            </w:r>
          </w:p>
        </w:tc>
        <w:tc>
          <w:tcPr>
            <w:tcW w:w="7610" w:type="dxa"/>
            <w:shd w:val="clear" w:color="auto" w:fill="auto"/>
            <w:tcMar>
              <w:top w:w="80" w:type="dxa"/>
              <w:left w:w="80" w:type="dxa"/>
              <w:bottom w:w="80" w:type="dxa"/>
              <w:right w:w="80" w:type="dxa"/>
            </w:tcMar>
            <w:vAlign w:val="top"/>
          </w:tcPr>
          <w:p w14:paraId="1ED5CAC1">
            <w:pPr>
              <w:pStyle w:val="10"/>
              <w:rPr>
                <w:rFonts w:hint="eastAsia" w:ascii="楷体_GB2312" w:hAnsi="楷体_GB2312" w:eastAsia="楷体_GB2312" w:cs="楷体_GB2312"/>
                <w:b w:val="0"/>
                <w:bCs/>
                <w:i w:val="0"/>
                <w:color w:val="auto"/>
                <w:sz w:val="24"/>
                <w:szCs w:val="24"/>
                <w:lang w:val="zh-TW" w:eastAsia="zh-TW"/>
              </w:rPr>
            </w:pPr>
            <w:r>
              <w:rPr>
                <w:rFonts w:hint="eastAsia" w:ascii="楷体_GB2312" w:hAnsi="楷体_GB2312" w:eastAsia="楷体_GB2312" w:cs="楷体_GB2312"/>
                <w:b w:val="0"/>
                <w:bCs/>
                <w:i w:val="0"/>
                <w:color w:val="auto"/>
                <w:sz w:val="24"/>
                <w:szCs w:val="24"/>
                <w:lang w:val="zh-TW" w:eastAsia="zh-TW"/>
              </w:rPr>
              <w:t>课程二：《基因与生物资讯学基础与前沿介绍》</w:t>
            </w:r>
          </w:p>
          <w:p w14:paraId="5ED9AC9F">
            <w:pPr>
              <w:pStyle w:val="10"/>
              <w:rPr>
                <w:rFonts w:hint="eastAsia" w:ascii="楷体_GB2312" w:hAnsi="楷体_GB2312" w:eastAsia="楷体_GB2312" w:cs="楷体_GB2312"/>
                <w:b w:val="0"/>
                <w:i w:val="0"/>
                <w:color w:val="auto"/>
                <w:sz w:val="24"/>
                <w:szCs w:val="24"/>
                <w:lang w:val="en-US" w:eastAsia="zh-CN"/>
              </w:rPr>
            </w:pPr>
            <w:r>
              <w:rPr>
                <w:rFonts w:hint="eastAsia" w:ascii="楷体_GB2312" w:hAnsi="楷体_GB2312" w:eastAsia="楷体_GB2312" w:cs="楷体_GB2312"/>
                <w:b w:val="0"/>
                <w:bCs/>
                <w:i w:val="0"/>
                <w:color w:val="auto"/>
                <w:sz w:val="24"/>
                <w:szCs w:val="24"/>
                <w:lang w:val="en-US" w:eastAsia="zh-CN"/>
              </w:rPr>
              <w:t>小组讨论</w:t>
            </w:r>
          </w:p>
        </w:tc>
      </w:tr>
      <w:tr w14:paraId="24FF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3" w:hRule="atLeast"/>
        </w:trPr>
        <w:tc>
          <w:tcPr>
            <w:tcW w:w="755" w:type="dxa"/>
            <w:shd w:val="clear" w:color="auto" w:fill="auto"/>
            <w:tcMar>
              <w:top w:w="80" w:type="dxa"/>
              <w:left w:w="80" w:type="dxa"/>
              <w:bottom w:w="80" w:type="dxa"/>
              <w:right w:w="80" w:type="dxa"/>
            </w:tcMar>
            <w:vAlign w:val="center"/>
          </w:tcPr>
          <w:p w14:paraId="4A5F9039">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lang w:val="zh-CN"/>
              </w:rPr>
              <w:t>Day4</w:t>
            </w:r>
          </w:p>
        </w:tc>
        <w:tc>
          <w:tcPr>
            <w:tcW w:w="7610" w:type="dxa"/>
            <w:shd w:val="clear" w:color="auto" w:fill="auto"/>
            <w:tcMar>
              <w:top w:w="80" w:type="dxa"/>
              <w:left w:w="80" w:type="dxa"/>
              <w:bottom w:w="80" w:type="dxa"/>
              <w:right w:w="80" w:type="dxa"/>
            </w:tcMar>
            <w:vAlign w:val="top"/>
          </w:tcPr>
          <w:p w14:paraId="49779913">
            <w:pPr>
              <w:pStyle w:val="10"/>
              <w:rPr>
                <w:rFonts w:hint="eastAsia" w:ascii="楷体_GB2312" w:hAnsi="楷体_GB2312" w:eastAsia="楷体_GB2312" w:cs="楷体_GB2312"/>
                <w:b w:val="0"/>
                <w:bCs/>
                <w:i w:val="0"/>
                <w:color w:val="auto"/>
                <w:sz w:val="24"/>
                <w:szCs w:val="24"/>
                <w:lang w:val="zh-TW" w:eastAsia="zh-TW"/>
              </w:rPr>
            </w:pPr>
            <w:r>
              <w:rPr>
                <w:rFonts w:hint="eastAsia" w:ascii="楷体_GB2312" w:hAnsi="楷体_GB2312" w:eastAsia="楷体_GB2312" w:cs="楷体_GB2312"/>
                <w:b w:val="0"/>
                <w:bCs/>
                <w:i w:val="0"/>
                <w:color w:val="auto"/>
                <w:sz w:val="24"/>
                <w:szCs w:val="24"/>
                <w:lang w:val="zh-TW" w:eastAsia="zh-TW"/>
              </w:rPr>
              <w:t>课程三：《癌症和神经退行性疾病中的自噬溶酶体途径》</w:t>
            </w:r>
          </w:p>
          <w:p w14:paraId="33D1FBEC">
            <w:pPr>
              <w:pStyle w:val="10"/>
              <w:rPr>
                <w:rFonts w:hint="eastAsia" w:ascii="楷体_GB2312" w:hAnsi="楷体_GB2312" w:eastAsia="楷体_GB2312" w:cs="楷体_GB2312"/>
                <w:b w:val="0"/>
                <w:bCs/>
                <w:i w:val="0"/>
                <w:color w:val="auto"/>
                <w:sz w:val="24"/>
                <w:szCs w:val="24"/>
                <w:lang w:val="en-US" w:eastAsia="zh-CN"/>
              </w:rPr>
            </w:pPr>
            <w:r>
              <w:rPr>
                <w:rFonts w:hint="eastAsia" w:ascii="楷体_GB2312" w:hAnsi="楷体_GB2312" w:eastAsia="楷体_GB2312" w:cs="楷体_GB2312"/>
                <w:b w:val="0"/>
                <w:bCs/>
                <w:i w:val="0"/>
                <w:color w:val="auto"/>
                <w:sz w:val="24"/>
                <w:szCs w:val="24"/>
                <w:lang w:val="en-US" w:eastAsia="zh-CN"/>
              </w:rPr>
              <w:t>参观澳门艺术博物馆、陈列馆</w:t>
            </w:r>
          </w:p>
        </w:tc>
      </w:tr>
      <w:tr w14:paraId="5071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0" w:hRule="atLeast"/>
        </w:trPr>
        <w:tc>
          <w:tcPr>
            <w:tcW w:w="755" w:type="dxa"/>
            <w:shd w:val="clear" w:color="auto" w:fill="auto"/>
            <w:tcMar>
              <w:top w:w="80" w:type="dxa"/>
              <w:left w:w="80" w:type="dxa"/>
              <w:bottom w:w="80" w:type="dxa"/>
              <w:right w:w="80" w:type="dxa"/>
            </w:tcMar>
            <w:vAlign w:val="center"/>
          </w:tcPr>
          <w:p w14:paraId="05E75DB9">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highlight w:val="none"/>
                <w:lang w:eastAsia="zh-TW"/>
              </w:rPr>
              <w:t>Day5</w:t>
            </w:r>
          </w:p>
        </w:tc>
        <w:tc>
          <w:tcPr>
            <w:tcW w:w="7610" w:type="dxa"/>
            <w:shd w:val="clear" w:color="auto" w:fill="auto"/>
            <w:tcMar>
              <w:top w:w="80" w:type="dxa"/>
              <w:left w:w="80" w:type="dxa"/>
              <w:bottom w:w="80" w:type="dxa"/>
              <w:right w:w="80" w:type="dxa"/>
            </w:tcMar>
            <w:vAlign w:val="top"/>
          </w:tcPr>
          <w:p w14:paraId="13B7FA1D">
            <w:pPr>
              <w:pStyle w:val="10"/>
              <w:rPr>
                <w:rFonts w:hint="eastAsia" w:ascii="楷体_GB2312" w:hAnsi="楷体_GB2312" w:eastAsia="楷体_GB2312" w:cs="楷体_GB2312"/>
                <w:b w:val="0"/>
                <w:bCs/>
                <w:i w:val="0"/>
                <w:color w:val="auto"/>
                <w:sz w:val="24"/>
                <w:szCs w:val="24"/>
                <w:lang w:val="zh-TW" w:eastAsia="zh-TW"/>
              </w:rPr>
            </w:pPr>
            <w:r>
              <w:rPr>
                <w:rFonts w:hint="eastAsia" w:ascii="楷体_GB2312" w:hAnsi="楷体_GB2312" w:eastAsia="楷体_GB2312" w:cs="楷体_GB2312"/>
                <w:b w:val="0"/>
                <w:bCs/>
                <w:i w:val="0"/>
                <w:color w:val="auto"/>
                <w:sz w:val="24"/>
                <w:szCs w:val="24"/>
                <w:lang w:val="zh-TW" w:eastAsia="zh-TW"/>
              </w:rPr>
              <w:t>课程四：《干细胞生物学与再生医学》</w:t>
            </w:r>
          </w:p>
          <w:p w14:paraId="6CAE10E7">
            <w:pPr>
              <w:pStyle w:val="10"/>
              <w:rPr>
                <w:rFonts w:hint="eastAsia" w:ascii="楷体_GB2312" w:hAnsi="楷体_GB2312" w:eastAsia="楷体_GB2312" w:cs="楷体_GB2312"/>
                <w:b w:val="0"/>
                <w:bCs/>
                <w:i w:val="0"/>
                <w:color w:val="auto"/>
                <w:sz w:val="24"/>
                <w:szCs w:val="24"/>
                <w:lang w:val="zh-CN"/>
              </w:rPr>
            </w:pPr>
            <w:r>
              <w:rPr>
                <w:rFonts w:hint="eastAsia" w:ascii="楷体_GB2312" w:hAnsi="楷体_GB2312" w:eastAsia="楷体_GB2312" w:cs="楷体_GB2312"/>
                <w:b w:val="0"/>
                <w:bCs/>
                <w:i w:val="0"/>
                <w:color w:val="auto"/>
                <w:sz w:val="24"/>
                <w:szCs w:val="24"/>
                <w:lang w:val="en-US" w:eastAsia="zh-CN"/>
              </w:rPr>
              <w:t>小组讨论</w:t>
            </w:r>
          </w:p>
        </w:tc>
      </w:tr>
      <w:tr w14:paraId="55A9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7" w:hRule="atLeast"/>
        </w:trPr>
        <w:tc>
          <w:tcPr>
            <w:tcW w:w="755" w:type="dxa"/>
            <w:shd w:val="clear" w:color="auto" w:fill="auto"/>
            <w:tcMar>
              <w:top w:w="80" w:type="dxa"/>
              <w:left w:w="80" w:type="dxa"/>
              <w:bottom w:w="80" w:type="dxa"/>
              <w:right w:w="80" w:type="dxa"/>
            </w:tcMar>
            <w:vAlign w:val="center"/>
          </w:tcPr>
          <w:p w14:paraId="41DAFCF3">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lang w:val="zh-CN"/>
              </w:rPr>
              <w:t>Day6</w:t>
            </w:r>
          </w:p>
        </w:tc>
        <w:tc>
          <w:tcPr>
            <w:tcW w:w="7610" w:type="dxa"/>
            <w:shd w:val="clear" w:color="auto" w:fill="auto"/>
            <w:tcMar>
              <w:top w:w="80" w:type="dxa"/>
              <w:left w:w="80" w:type="dxa"/>
              <w:bottom w:w="80" w:type="dxa"/>
              <w:right w:w="80" w:type="dxa"/>
            </w:tcMar>
            <w:vAlign w:val="top"/>
          </w:tcPr>
          <w:p w14:paraId="49C5CD17">
            <w:pPr>
              <w:pStyle w:val="10"/>
              <w:rPr>
                <w:rFonts w:hint="eastAsia" w:ascii="楷体_GB2312" w:hAnsi="楷体_GB2312" w:eastAsia="楷体_GB2312" w:cs="楷体_GB2312"/>
                <w:b w:val="0"/>
                <w:bCs/>
                <w:i w:val="0"/>
                <w:color w:val="auto"/>
                <w:sz w:val="24"/>
                <w:szCs w:val="24"/>
                <w:lang w:eastAsia="zh-TW"/>
              </w:rPr>
            </w:pPr>
            <w:r>
              <w:rPr>
                <w:rFonts w:hint="eastAsia" w:ascii="楷体_GB2312" w:hAnsi="楷体_GB2312" w:eastAsia="楷体_GB2312" w:cs="楷体_GB2312"/>
                <w:b w:val="0"/>
                <w:bCs/>
                <w:i w:val="0"/>
                <w:color w:val="auto"/>
                <w:sz w:val="24"/>
                <w:szCs w:val="24"/>
                <w:lang w:eastAsia="zh-TW"/>
              </w:rPr>
              <w:t>小组报告演练</w:t>
            </w:r>
          </w:p>
          <w:p w14:paraId="485CE4EE">
            <w:pPr>
              <w:pStyle w:val="10"/>
              <w:rPr>
                <w:rFonts w:hint="eastAsia" w:ascii="楷体_GB2312" w:hAnsi="楷体_GB2312" w:eastAsia="楷体_GB2312" w:cs="楷体_GB2312"/>
                <w:b w:val="0"/>
                <w:i w:val="0"/>
                <w:color w:val="auto"/>
                <w:sz w:val="24"/>
                <w:szCs w:val="24"/>
                <w:lang w:val="en-US" w:eastAsia="zh-CN"/>
              </w:rPr>
            </w:pPr>
            <w:r>
              <w:rPr>
                <w:rFonts w:hint="eastAsia" w:ascii="楷体_GB2312" w:hAnsi="楷体_GB2312" w:eastAsia="楷体_GB2312" w:cs="楷体_GB2312"/>
                <w:b w:val="0"/>
                <w:i w:val="0"/>
                <w:color w:val="auto"/>
                <w:sz w:val="24"/>
                <w:szCs w:val="24"/>
                <w:lang w:val="en-US" w:eastAsia="zh-CN"/>
              </w:rPr>
              <w:t>结业汇报</w:t>
            </w:r>
          </w:p>
        </w:tc>
      </w:tr>
      <w:tr w14:paraId="3FAD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 w:hRule="atLeast"/>
        </w:trPr>
        <w:tc>
          <w:tcPr>
            <w:tcW w:w="755" w:type="dxa"/>
            <w:shd w:val="clear" w:color="auto" w:fill="auto"/>
            <w:tcMar>
              <w:top w:w="80" w:type="dxa"/>
              <w:left w:w="80" w:type="dxa"/>
              <w:bottom w:w="80" w:type="dxa"/>
              <w:right w:w="80" w:type="dxa"/>
            </w:tcMar>
            <w:vAlign w:val="center"/>
          </w:tcPr>
          <w:p w14:paraId="3A1D5A9C">
            <w:pPr>
              <w:pStyle w:val="10"/>
              <w:jc w:val="center"/>
              <w:rPr>
                <w:rFonts w:hint="eastAsia" w:ascii="楷体_GB2312" w:hAnsi="楷体_GB2312" w:eastAsia="楷体_GB2312" w:cs="楷体_GB2312"/>
                <w:b w:val="0"/>
                <w:i w:val="0"/>
                <w:color w:val="auto"/>
                <w:sz w:val="24"/>
                <w:szCs w:val="24"/>
              </w:rPr>
            </w:pPr>
            <w:r>
              <w:rPr>
                <w:rFonts w:hint="eastAsia" w:ascii="楷体_GB2312" w:hAnsi="楷体_GB2312" w:eastAsia="楷体_GB2312" w:cs="楷体_GB2312"/>
                <w:b w:val="0"/>
                <w:i w:val="0"/>
                <w:color w:val="auto"/>
                <w:sz w:val="24"/>
                <w:szCs w:val="24"/>
                <w:highlight w:val="none"/>
                <w:lang w:eastAsia="zh-TW"/>
              </w:rPr>
              <w:t>Day7</w:t>
            </w:r>
          </w:p>
        </w:tc>
        <w:tc>
          <w:tcPr>
            <w:tcW w:w="7610" w:type="dxa"/>
            <w:shd w:val="clear" w:color="auto" w:fill="auto"/>
            <w:tcMar>
              <w:top w:w="80" w:type="dxa"/>
              <w:left w:w="80" w:type="dxa"/>
              <w:bottom w:w="80" w:type="dxa"/>
              <w:right w:w="80" w:type="dxa"/>
            </w:tcMar>
            <w:vAlign w:val="top"/>
          </w:tcPr>
          <w:p w14:paraId="15241005">
            <w:pPr>
              <w:pStyle w:val="10"/>
              <w:rPr>
                <w:rFonts w:hint="eastAsia" w:ascii="楷体_GB2312" w:hAnsi="楷体_GB2312" w:eastAsia="楷体_GB2312" w:cs="楷体_GB2312"/>
                <w:b w:val="0"/>
                <w:bCs/>
                <w:i w:val="0"/>
                <w:color w:val="auto"/>
                <w:sz w:val="24"/>
                <w:szCs w:val="24"/>
                <w:lang w:val="en-US" w:eastAsia="zh-CN"/>
              </w:rPr>
            </w:pPr>
            <w:r>
              <w:rPr>
                <w:rFonts w:hint="eastAsia" w:ascii="楷体_GB2312" w:hAnsi="楷体_GB2312" w:eastAsia="楷体_GB2312" w:cs="楷体_GB2312"/>
                <w:b w:val="0"/>
                <w:bCs/>
                <w:i w:val="0"/>
                <w:color w:val="auto"/>
                <w:sz w:val="24"/>
                <w:szCs w:val="24"/>
                <w:lang w:val="zh-CN"/>
              </w:rPr>
              <w:t>离</w:t>
            </w:r>
            <w:r>
              <w:rPr>
                <w:rFonts w:hint="eastAsia" w:ascii="楷体_GB2312" w:hAnsi="楷体_GB2312" w:eastAsia="楷体_GB2312" w:cs="楷体_GB2312"/>
                <w:b w:val="0"/>
                <w:bCs/>
                <w:i w:val="0"/>
                <w:color w:val="auto"/>
                <w:sz w:val="24"/>
                <w:szCs w:val="24"/>
                <w:lang w:val="en-US" w:eastAsia="zh-CN"/>
              </w:rPr>
              <w:t>澳</w:t>
            </w:r>
            <w:r>
              <w:rPr>
                <w:rFonts w:hint="eastAsia" w:ascii="楷体_GB2312" w:hAnsi="楷体_GB2312" w:eastAsia="楷体_GB2312" w:cs="楷体_GB2312"/>
                <w:b w:val="0"/>
                <w:bCs/>
                <w:i w:val="0"/>
                <w:color w:val="auto"/>
                <w:sz w:val="24"/>
                <w:szCs w:val="24"/>
                <w:lang w:val="zh-CN"/>
              </w:rPr>
              <w:t>返程</w:t>
            </w:r>
          </w:p>
        </w:tc>
      </w:tr>
      <w:tr w14:paraId="58E4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 w:hRule="atLeast"/>
        </w:trPr>
        <w:tc>
          <w:tcPr>
            <w:tcW w:w="755" w:type="dxa"/>
            <w:shd w:val="clear" w:color="auto" w:fill="auto"/>
            <w:tcMar>
              <w:top w:w="80" w:type="dxa"/>
              <w:left w:w="80" w:type="dxa"/>
              <w:bottom w:w="80" w:type="dxa"/>
              <w:right w:w="80" w:type="dxa"/>
            </w:tcMar>
            <w:vAlign w:val="center"/>
          </w:tcPr>
          <w:p w14:paraId="1525A368">
            <w:pPr>
              <w:pStyle w:val="10"/>
              <w:jc w:val="center"/>
              <w:rPr>
                <w:rFonts w:hint="eastAsia" w:ascii="楷体_GB2312" w:hAnsi="楷体_GB2312" w:eastAsia="楷体_GB2312" w:cs="楷体_GB2312"/>
                <w:b w:val="0"/>
                <w:i w:val="0"/>
                <w:color w:val="auto"/>
                <w:sz w:val="24"/>
                <w:szCs w:val="24"/>
                <w:highlight w:val="none"/>
                <w:lang w:eastAsia="zh-TW"/>
              </w:rPr>
            </w:pPr>
          </w:p>
        </w:tc>
        <w:tc>
          <w:tcPr>
            <w:tcW w:w="7610" w:type="dxa"/>
            <w:shd w:val="clear" w:color="auto" w:fill="auto"/>
            <w:tcMar>
              <w:top w:w="80" w:type="dxa"/>
              <w:left w:w="80" w:type="dxa"/>
              <w:bottom w:w="80" w:type="dxa"/>
              <w:right w:w="80" w:type="dxa"/>
            </w:tcMar>
            <w:vAlign w:val="top"/>
          </w:tcPr>
          <w:p w14:paraId="17AB6E29">
            <w:pPr>
              <w:pStyle w:val="10"/>
              <w:jc w:val="right"/>
              <w:rPr>
                <w:rFonts w:hint="eastAsia" w:ascii="楷体_GB2312" w:hAnsi="楷体_GB2312" w:eastAsia="楷体_GB2312" w:cs="楷体_GB2312"/>
                <w:b w:val="0"/>
                <w:bCs/>
                <w:i w:val="0"/>
                <w:color w:val="auto"/>
                <w:sz w:val="24"/>
                <w:szCs w:val="24"/>
                <w:lang w:val="zh-CN"/>
              </w:rPr>
            </w:pPr>
            <w:r>
              <w:rPr>
                <w:rFonts w:hint="eastAsia" w:ascii="楷体_GB2312" w:hAnsi="楷体_GB2312" w:eastAsia="楷体_GB2312" w:cs="楷体_GB2312"/>
                <w:b w:val="0"/>
                <w:bCs w:val="0"/>
                <w:i w:val="0"/>
                <w:color w:val="47494B"/>
                <w:kern w:val="0"/>
                <w:sz w:val="24"/>
                <w:szCs w:val="24"/>
                <w:highlight w:val="none"/>
                <w:u w:val="none"/>
                <w:lang w:val="en-US" w:eastAsia="zh-CN" w:bidi="ar"/>
              </w:rPr>
              <w:t>*往期项目课程安排，具体以实际为准</w:t>
            </w:r>
          </w:p>
        </w:tc>
      </w:tr>
    </w:tbl>
    <w:p w14:paraId="59F1A53C">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p>
    <w:p w14:paraId="19E3EC3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*一站式服务方式：</w:t>
      </w:r>
      <w:r>
        <w:rPr>
          <w:rFonts w:hint="eastAsia" w:ascii="仿宋_GB2312" w:hAnsi="仿宋_GB2312" w:eastAsia="仿宋_GB2312" w:cs="仿宋_GB2312"/>
          <w:sz w:val="28"/>
          <w:szCs w:val="28"/>
          <w:lang w:val="en-US" w:eastAsia="zh-CN"/>
        </w:rPr>
        <w:t>项目将由经验丰富的领队全程陪同，对学生全方位的管理和陪伴。领队会确保团组的安全，并在日常学习和生活中提供必要的指导和协助。同时，项目组在出发前将为每位学员购买境外险，并给予行前指导，确保学员充分了解交流期间的相关注意事项。</w:t>
      </w:r>
    </w:p>
    <w:p w14:paraId="618D688A">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*住宿安排</w:t>
      </w:r>
      <w:r>
        <w:rPr>
          <w:rFonts w:hint="eastAsia" w:ascii="仿宋_GB2312" w:hAnsi="仿宋_GB2312" w:eastAsia="仿宋_GB2312" w:cs="仿宋_GB2312"/>
          <w:sz w:val="28"/>
          <w:szCs w:val="28"/>
          <w:lang w:val="en-US" w:eastAsia="zh-CN"/>
        </w:rPr>
        <w:t>：入住酒店标准双人间，按照性别分配房间，1人1床；配有独立卫浴、空调、上网设施等。</w:t>
      </w:r>
    </w:p>
    <w:p w14:paraId="26C8A788">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*餐食安排</w:t>
      </w:r>
      <w:r>
        <w:rPr>
          <w:rFonts w:hint="eastAsia" w:ascii="仿宋_GB2312" w:hAnsi="仿宋_GB2312" w:eastAsia="仿宋_GB2312" w:cs="仿宋_GB2312"/>
          <w:sz w:val="28"/>
          <w:szCs w:val="28"/>
          <w:lang w:val="en-US" w:eastAsia="zh-CN"/>
        </w:rPr>
        <w:t>：三餐费用自理，每餐约40-45澳门币。早餐：一般在酒店附近或学校学生餐厅用餐；午餐：在学校学生餐厅用餐；晚餐：一般在市区或酒店附近用餐。</w:t>
      </w:r>
    </w:p>
    <w:p w14:paraId="7F63F66F">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*交通安排</w:t>
      </w:r>
      <w:r>
        <w:rPr>
          <w:rFonts w:hint="eastAsia" w:ascii="仿宋_GB2312" w:hAnsi="仿宋_GB2312" w:eastAsia="仿宋_GB2312" w:cs="仿宋_GB2312"/>
          <w:sz w:val="28"/>
          <w:szCs w:val="28"/>
          <w:lang w:val="en-US" w:eastAsia="zh-CN"/>
        </w:rPr>
        <w:t>：课程及参访均会安排大巴接送。课余时间，学员可搭乘便捷的公共交通。</w:t>
      </w:r>
    </w:p>
    <w:p w14:paraId="3C3C7DCB">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*物料配备</w:t>
      </w:r>
      <w:r>
        <w:rPr>
          <w:rFonts w:hint="eastAsia" w:ascii="仿宋_GB2312" w:hAnsi="仿宋_GB2312" w:eastAsia="仿宋_GB2312" w:cs="仿宋_GB2312"/>
          <w:sz w:val="28"/>
          <w:szCs w:val="28"/>
          <w:lang w:val="en-US" w:eastAsia="zh-CN"/>
        </w:rPr>
        <w:t>：横幅、胸牌、文具、手袋等。</w:t>
      </w:r>
    </w:p>
    <w:p w14:paraId="758D98A5">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*办证事宜</w:t>
      </w:r>
      <w:r>
        <w:rPr>
          <w:rFonts w:hint="eastAsia" w:ascii="仿宋_GB2312" w:hAnsi="仿宋_GB2312" w:eastAsia="仿宋_GB2312" w:cs="仿宋_GB2312"/>
          <w:sz w:val="28"/>
          <w:szCs w:val="28"/>
          <w:lang w:val="en-US" w:eastAsia="zh-CN"/>
        </w:rPr>
        <w:t>：项目组将指导学员办理港澳通行证及签注。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swiss"/>
    <w:pitch w:val="default"/>
    <w:sig w:usb0="00000000" w:usb1="00000000" w:usb2="00000000" w:usb3="00000000" w:csb0="2000019F" w:csb1="4F010000"/>
  </w:font>
  <w:font w:name="Arial Unicode MS">
    <w:altName w:val="Arial"/>
    <w:panose1 w:val="020B0604020202020204"/>
    <w:charset w:val="80"/>
    <w:family w:val="swiss"/>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075924"/>
    <w:multiLevelType w:val="singleLevel"/>
    <w:tmpl w:val="6707592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617D25"/>
    <w:rsid w:val="035031FB"/>
    <w:rsid w:val="035E3A4D"/>
    <w:rsid w:val="0C624B0E"/>
    <w:rsid w:val="0C8510A9"/>
    <w:rsid w:val="10733F1A"/>
    <w:rsid w:val="14002D1D"/>
    <w:rsid w:val="1A5A1E87"/>
    <w:rsid w:val="23360FB7"/>
    <w:rsid w:val="2C960595"/>
    <w:rsid w:val="2D0A69AF"/>
    <w:rsid w:val="47741017"/>
    <w:rsid w:val="4A9633E6"/>
    <w:rsid w:val="4F4512AD"/>
    <w:rsid w:val="4F625D9C"/>
    <w:rsid w:val="57203321"/>
    <w:rsid w:val="575208D7"/>
    <w:rsid w:val="57972F60"/>
    <w:rsid w:val="5BC43C26"/>
    <w:rsid w:val="5F617D25"/>
    <w:rsid w:val="68066103"/>
    <w:rsid w:val="6BD87731"/>
    <w:rsid w:val="6E0B0643"/>
    <w:rsid w:val="74780C3C"/>
    <w:rsid w:val="784C5D97"/>
    <w:rsid w:val="7E1559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默认"/>
    <w:basedOn w:val="1"/>
    <w:qFormat/>
    <w:uiPriority w:val="0"/>
    <w:pPr>
      <w:widowControl/>
      <w:jc w:val="left"/>
    </w:pPr>
    <w:rPr>
      <w:rFonts w:ascii="Helvetica" w:hAnsi="Helvetica" w:eastAsia="宋体" w:cs="宋体"/>
      <w:color w:val="000000"/>
      <w:kern w:val="0"/>
      <w:sz w:val="22"/>
      <w:szCs w:val="22"/>
    </w:rPr>
  </w:style>
  <w:style w:type="character" w:customStyle="1" w:styleId="9">
    <w:name w:val="15"/>
    <w:basedOn w:val="6"/>
    <w:qFormat/>
    <w:uiPriority w:val="0"/>
    <w:rPr>
      <w:rFonts w:hint="default" w:ascii="Calibri" w:hAnsi="Calibri" w:cs="Calibri"/>
      <w:b/>
      <w:color w:val="000000"/>
      <w:sz w:val="20"/>
      <w:szCs w:val="20"/>
    </w:rPr>
  </w:style>
  <w:style w:type="paragraph" w:customStyle="1" w:styleId="10">
    <w:name w:val="正文 A"/>
    <w:basedOn w:val="1"/>
    <w:qFormat/>
    <w:uiPriority w:val="0"/>
    <w:pPr>
      <w:widowControl/>
      <w:jc w:val="left"/>
    </w:pPr>
    <w:rPr>
      <w:rFonts w:ascii="Times New Roman" w:hAnsi="Times New Roman" w:eastAsia="Arial Unicode MS" w:cs="Arial Unicode MS"/>
      <w:color w:val="000000"/>
      <w:kern w:val="0"/>
      <w:sz w:val="24"/>
      <w:u w:color="00000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3817</Words>
  <Characters>4191</Characters>
  <Lines>0</Lines>
  <Paragraphs>0</Paragraphs>
  <TotalTime>15</TotalTime>
  <ScaleCrop>false</ScaleCrop>
  <LinksUpToDate>false</LinksUpToDate>
  <CharactersWithSpaces>4231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2024-10-08T06:07:00Z</dcterms:created>
  <dc:creator>何起斌</dc:creator>
  <cp:lastModifiedBy>锡</cp:lastModifiedBy>
  <dcterms:modified xsi:type="dcterms:W3CDTF">2026-10-28T07:00:18Z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eyJoZGlkIjoiZGQ1MDgzNDg2MzE1OTllNzhlZDFlN2M4MGI1YWM5NjMiLCJ1c2VySWQiOiIxMTU1NjczOTQ0In0=</vt:lpwstr>
  </property>
  <property fmtid="{D5CDD505-2E9C-101B-9397-08002B2CF9AE}" pid="4" name="ICV">
    <vt:lpwstr>4D92F4A9A23348348A9924A6F83022E8_12</vt:lpwstr>
  </property>
</Properties>
</file>