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黑体" w:hAnsi="黑体" w:eastAsia="黑体"/>
          <w:sz w:val="32"/>
          <w:szCs w:val="32"/>
          <w:u w:val="single" w:color="FFFFFF"/>
        </w:rPr>
      </w:pPr>
      <w:bookmarkStart w:id="0" w:name="_GoBack"/>
      <w:bookmarkEnd w:id="0"/>
      <w:r>
        <w:rPr>
          <w:rFonts w:hint="eastAsia" w:ascii="黑体" w:hAnsi="黑体" w:eastAsia="黑体"/>
          <w:sz w:val="32"/>
          <w:szCs w:val="32"/>
          <w:u w:val="single" w:color="FFFFFF"/>
        </w:rPr>
        <w:t>附件：</w:t>
      </w:r>
    </w:p>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齐齐哈尔医学院学士学位管理细则</w:t>
      </w:r>
    </w:p>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（修订）</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根据《中华人民共和国学位条例》《中华人民共和国学位条例暂行实施办法》和</w:t>
      </w:r>
      <w:r>
        <w:rPr>
          <w:rFonts w:hint="eastAsia" w:ascii="仿宋_GB2312" w:hAnsi="仿宋" w:eastAsia="仿宋_GB2312"/>
          <w:sz w:val="32"/>
          <w:szCs w:val="32"/>
        </w:rPr>
        <w:t>《齐齐哈尔医学院学位评定委员会章程》有关规定，结合</w:t>
      </w:r>
      <w:r>
        <w:rPr>
          <w:rFonts w:hint="eastAsia" w:ascii="仿宋_GB2312" w:hAnsi="仿宋" w:eastAsia="仿宋_GB2312"/>
          <w:sz w:val="32"/>
          <w:szCs w:val="32"/>
          <w:u w:val="single" w:color="FFFFFF"/>
        </w:rPr>
        <w:t>我院实际，修订本管理细则。</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第一条</w:t>
      </w:r>
      <w:r>
        <w:rPr>
          <w:rFonts w:hint="eastAsia" w:eastAsia="仿宋_GB2312"/>
          <w:sz w:val="32"/>
          <w:szCs w:val="32"/>
          <w:u w:val="single" w:color="FFFFFF"/>
        </w:rPr>
        <w:t> </w:t>
      </w:r>
      <w:r>
        <w:rPr>
          <w:rFonts w:hint="eastAsia" w:ascii="仿宋_GB2312" w:hAnsi="仿宋" w:eastAsia="仿宋_GB2312"/>
          <w:sz w:val="32"/>
          <w:szCs w:val="32"/>
          <w:u w:val="single" w:color="FFFFFF"/>
        </w:rPr>
        <w:t xml:space="preserve"> 齐齐哈尔医学院是</w:t>
      </w:r>
      <w:r>
        <w:rPr>
          <w:rFonts w:hint="eastAsia" w:ascii="仿宋_GB2312" w:hAnsi="仿宋" w:eastAsia="仿宋_GB2312"/>
          <w:sz w:val="32"/>
          <w:szCs w:val="32"/>
        </w:rPr>
        <w:t>国务院学位委员会</w:t>
      </w:r>
      <w:r>
        <w:rPr>
          <w:rFonts w:hint="eastAsia" w:ascii="仿宋_GB2312" w:hAnsi="仿宋" w:eastAsia="仿宋_GB2312"/>
          <w:sz w:val="32"/>
          <w:szCs w:val="32"/>
          <w:u w:val="single" w:color="FFFFFF"/>
        </w:rPr>
        <w:t>批准的有权授予学士学位的院校，授予学士学位的五个学科门类为医学、理学、工学、管理学和法学。</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第二条</w:t>
      </w:r>
      <w:r>
        <w:rPr>
          <w:rFonts w:hint="eastAsia" w:ascii="仿宋_GB2312" w:hAnsi="仿宋" w:eastAsia="仿宋_GB2312"/>
          <w:sz w:val="32"/>
          <w:szCs w:val="32"/>
          <w:u w:val="single" w:color="FFFFFF"/>
        </w:rPr>
        <w:t xml:space="preserve">  授予学士学位的条件</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学士学位授予工作坚持综合素质和能力全面考核的原则，对符合下列相应条件的本科毕业生授予学士学位：</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（一）热爱祖国，坚持四项基本原则，遵纪守法，遵守《高等学校学生行为准则》，遵守齐齐哈尔医学院管理制度,具有良好的道德品行；</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（二）在规定的学习年限内完成</w:t>
      </w:r>
      <w:r>
        <w:rPr>
          <w:rFonts w:hint="eastAsia" w:ascii="仿宋_GB2312" w:hAnsi="仿宋" w:eastAsia="仿宋_GB2312"/>
          <w:sz w:val="32"/>
          <w:szCs w:val="32"/>
        </w:rPr>
        <w:t>主修专业</w:t>
      </w:r>
      <w:r>
        <w:rPr>
          <w:rFonts w:hint="eastAsia" w:ascii="仿宋_GB2312" w:hAnsi="仿宋" w:eastAsia="仿宋_GB2312"/>
          <w:sz w:val="32"/>
          <w:szCs w:val="32"/>
          <w:u w:val="single" w:color="FFFFFF"/>
        </w:rPr>
        <w:t>培养方案规定的内容[含毕业实习、毕业论文（设计)]，并已较好掌握本门学科的基础理论、专业知识和基本技能，成绩合格；</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（三）具有从事科学研究工作或专门技术工作的初步能力，达到毕业要求，主修专业有毕业论文（设计）要求的已通过毕业论文（设计）答辩。</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第三条</w:t>
      </w:r>
      <w:r>
        <w:rPr>
          <w:rFonts w:hint="eastAsia" w:ascii="仿宋_GB2312" w:hAnsi="仿宋" w:eastAsia="仿宋_GB2312"/>
          <w:sz w:val="32"/>
          <w:szCs w:val="32"/>
          <w:u w:val="single" w:color="FFFFFF"/>
        </w:rPr>
        <w:t xml:space="preserve">  有下列情况之一者，不授予学士学位：</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（一）未取得毕业资格者；</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（二）政治上有明显反对四项基本原则的言论和行动，经说服教育仍坚持不改者；</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（三）在校期间因违反校规、校纪等原因受过严重</w:t>
      </w:r>
      <w:r>
        <w:rPr>
          <w:rFonts w:hint="eastAsia" w:ascii="仿宋_GB2312" w:hAnsi="仿宋" w:eastAsia="仿宋_GB2312"/>
          <w:sz w:val="32"/>
          <w:szCs w:val="32"/>
        </w:rPr>
        <w:t>警告及以上处分，毕业前未</w:t>
      </w:r>
      <w:r>
        <w:rPr>
          <w:rFonts w:hint="eastAsia" w:ascii="仿宋_GB2312" w:hAnsi="仿宋" w:eastAsia="仿宋_GB2312"/>
          <w:sz w:val="32"/>
          <w:szCs w:val="32"/>
          <w:u w:val="single" w:color="FFFFFF"/>
        </w:rPr>
        <w:t>解除处分者；</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（四）剽窃他人学术成果者，抄袭他人毕业论文（设计）者。</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第四条</w:t>
      </w:r>
      <w:r>
        <w:rPr>
          <w:rFonts w:hint="eastAsia" w:ascii="仿宋_GB2312" w:hAnsi="仿宋" w:eastAsia="仿宋_GB2312"/>
          <w:sz w:val="32"/>
          <w:szCs w:val="32"/>
          <w:u w:val="single" w:color="FFFFFF"/>
        </w:rPr>
        <w:t xml:space="preserve">  申请恢复学位授予资格条件</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因受到纪律处分，毕业资格审核前未解除处分者，本不应授予学士学位，但其后在校期间表现优异，毕业时达到以下条件之一者可以申请恢复学士学位授予资格：</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（一）受到纪律处分后，学生对违纪行为有深刻认识且作出书面检查，没有再次违纪行为，达到毕业要求，主修专业</w:t>
      </w:r>
      <w:r>
        <w:rPr>
          <w:rFonts w:hint="eastAsia" w:ascii="仿宋_GB2312" w:hAnsi="仿宋" w:eastAsia="仿宋_GB2312"/>
          <w:sz w:val="32"/>
          <w:szCs w:val="32"/>
        </w:rPr>
        <w:t>各门课程</w:t>
      </w:r>
      <w:r>
        <w:rPr>
          <w:rFonts w:hint="eastAsia" w:ascii="仿宋_GB2312" w:hAnsi="仿宋" w:eastAsia="仿宋_GB2312"/>
          <w:sz w:val="32"/>
          <w:szCs w:val="32"/>
          <w:u w:val="single" w:color="FFFFFF"/>
        </w:rPr>
        <w:t>考试成绩均在80分以上者；</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（二）在校期间取得全国硕士研究生入学资格者；</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（三）受到纪律处分后，在大学生课外活动中获得省级以上奖励者；</w:t>
      </w:r>
    </w:p>
    <w:p>
      <w:pPr>
        <w:spacing w:line="620" w:lineRule="exact"/>
        <w:ind w:firstLine="640" w:firstLineChars="200"/>
        <w:rPr>
          <w:rFonts w:hint="eastAsia" w:ascii="仿宋_GB2312" w:hAnsi="仿宋" w:eastAsia="仿宋_GB2312"/>
          <w:sz w:val="28"/>
          <w:szCs w:val="28"/>
        </w:rPr>
      </w:pPr>
      <w:r>
        <w:rPr>
          <w:rFonts w:hint="eastAsia" w:ascii="仿宋_GB2312" w:hAnsi="仿宋" w:eastAsia="仿宋_GB2312"/>
          <w:sz w:val="32"/>
          <w:szCs w:val="32"/>
        </w:rPr>
        <w:t>（四）在校期间或毕业后一年内</w:t>
      </w:r>
      <w:r>
        <w:rPr>
          <w:rFonts w:hint="eastAsia" w:ascii="仿宋_GB2312" w:hAnsi="仿宋" w:eastAsia="仿宋_GB2312"/>
          <w:sz w:val="32"/>
          <w:szCs w:val="32"/>
          <w:u w:val="single" w:color="FFFFFF"/>
        </w:rPr>
        <w:t>，通过在校期间取得的项目或成果，</w:t>
      </w:r>
      <w:r>
        <w:rPr>
          <w:rFonts w:hint="eastAsia" w:ascii="仿宋_GB2312" w:hAnsi="仿宋" w:eastAsia="仿宋_GB2312"/>
          <w:sz w:val="32"/>
          <w:szCs w:val="32"/>
        </w:rPr>
        <w:t>获得以齐齐哈尔医学院为专利权人的发明专利（第一发明人）或在中文核心期刊上发表专业相关学术论文者（第一作者）。</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 xml:space="preserve">第五条 </w:t>
      </w:r>
      <w:r>
        <w:rPr>
          <w:rFonts w:hint="eastAsia" w:ascii="仿宋_GB2312" w:hAnsi="仿宋" w:eastAsia="仿宋_GB2312"/>
          <w:sz w:val="32"/>
          <w:szCs w:val="32"/>
          <w:u w:val="single" w:color="FFFFFF"/>
        </w:rPr>
        <w:t>对于已经授予学士学位者，如发现有舞弊作伪等严重违反本管理细则规定的情况，经学位评定委员会复议，学院可予以撤销已授予的学位并收回学位证书。</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第六条</w:t>
      </w:r>
      <w:r>
        <w:rPr>
          <w:rFonts w:hint="eastAsia" w:eastAsia="仿宋_GB2312"/>
          <w:sz w:val="32"/>
          <w:szCs w:val="32"/>
          <w:u w:val="single" w:color="FFFFFF"/>
        </w:rPr>
        <w:t> </w:t>
      </w:r>
      <w:r>
        <w:rPr>
          <w:rFonts w:hint="eastAsia" w:ascii="仿宋_GB2312" w:hAnsi="仿宋" w:eastAsia="仿宋_GB2312"/>
          <w:sz w:val="32"/>
          <w:szCs w:val="32"/>
          <w:u w:val="single" w:color="FFFFFF"/>
        </w:rPr>
        <w:t xml:space="preserve"> 授予学士学位的评审程序</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（一）</w:t>
      </w:r>
      <w:r>
        <w:rPr>
          <w:rFonts w:hint="eastAsia" w:ascii="仿宋_GB2312" w:hAnsi="仿宋" w:eastAsia="仿宋_GB2312"/>
          <w:sz w:val="32"/>
          <w:szCs w:val="32"/>
        </w:rPr>
        <w:t>各基层学位评定分委员会</w:t>
      </w:r>
      <w:r>
        <w:rPr>
          <w:rFonts w:hint="eastAsia" w:ascii="仿宋_GB2312" w:hAnsi="仿宋" w:eastAsia="仿宋_GB2312"/>
          <w:sz w:val="32"/>
          <w:szCs w:val="32"/>
          <w:u w:val="single" w:color="FFFFFF"/>
        </w:rPr>
        <w:t>根据学士学位授予条件，对所属专业学士学位申请者逐一进行资格审查，提出拟授予学士学位和拟不授予学士学位的建议名单，上报学位评定委员会办公室；</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（二）学位评定委员会办公室组织教务处和学生工作部（处）进行授予资格复审；</w:t>
      </w:r>
    </w:p>
    <w:p>
      <w:pPr>
        <w:spacing w:line="6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u w:val="single" w:color="FFFFFF"/>
        </w:rPr>
        <w:t>（三）学位评定委员会审议拟授予学士学位和拟不授予学士学位的名单及相应佐证材料，形成评审结果</w:t>
      </w:r>
      <w:r>
        <w:rPr>
          <w:rFonts w:hint="eastAsia" w:ascii="仿宋_GB2312" w:hAnsi="仿宋" w:eastAsia="仿宋_GB2312"/>
          <w:sz w:val="32"/>
          <w:szCs w:val="32"/>
        </w:rPr>
        <w:t>；</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（四）学位评定委员会办公室向院长办公会议提交评审结果，汇报学位评审的组织过程，院长办公会议审议通过后下发文件并授予学士学位；</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（五）</w:t>
      </w:r>
      <w:r>
        <w:rPr>
          <w:rFonts w:hint="eastAsia" w:ascii="仿宋_GB2312" w:hAnsi="仿宋" w:eastAsia="仿宋_GB2312"/>
          <w:sz w:val="32"/>
          <w:szCs w:val="32"/>
        </w:rPr>
        <w:t>学士学位授予文件及名单应在院内公开，各</w:t>
      </w:r>
      <w:r>
        <w:rPr>
          <w:rFonts w:hint="eastAsia" w:ascii="仿宋_GB2312" w:hAnsi="仿宋" w:eastAsia="仿宋_GB2312"/>
          <w:sz w:val="32"/>
          <w:szCs w:val="32"/>
          <w:u w:val="single" w:color="FFFFFF"/>
        </w:rPr>
        <w:t>二级学院和学生工作部（处）做好未获得学士学位学生的思想工作；</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（六）学籍管理部门依据国家有关规定设计、印制和发放学位证书；</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（七）学籍管理部门将授予学士学位的有关材料上报至黑龙江省学位委员会办公室备案，并做好相关数据管理工作；</w:t>
      </w:r>
    </w:p>
    <w:p>
      <w:pPr>
        <w:spacing w:line="6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（八）留学生教育学士学位授予工作和第二学士学位授予工作参照本管理细则执行；</w:t>
      </w:r>
    </w:p>
    <w:p>
      <w:pPr>
        <w:spacing w:line="6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（九）成人与继续教育学士学位授予工作按照《齐齐哈尔医学院高等学历继续教育本科学士学位授予实施细则》（院政发</w:t>
      </w:r>
      <w:r>
        <w:rPr>
          <w:rFonts w:hint="eastAsia" w:ascii="仿宋_GB2312" w:eastAsia="仿宋_GB2312"/>
          <w:sz w:val="32"/>
          <w:szCs w:val="32"/>
        </w:rPr>
        <w:t>〔2019〕</w:t>
      </w:r>
      <w:r>
        <w:rPr>
          <w:rFonts w:hint="eastAsia" w:ascii="仿宋_GB2312" w:hAnsi="仿宋" w:eastAsia="仿宋_GB2312"/>
          <w:sz w:val="32"/>
          <w:szCs w:val="32"/>
        </w:rPr>
        <w:t>160号）执行；</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（十）学生若对学院依据本管理细则做出的各级各类决定有异议，可依照《齐齐哈尔医学院学生申诉处理办法（修订）》（院政发</w:t>
      </w:r>
      <w:r>
        <w:rPr>
          <w:rFonts w:hint="eastAsia" w:ascii="仿宋_GB2312" w:eastAsia="仿宋_GB2312"/>
          <w:sz w:val="32"/>
          <w:szCs w:val="32"/>
        </w:rPr>
        <w:t>〔2019〕127号）</w:t>
      </w:r>
      <w:r>
        <w:rPr>
          <w:rFonts w:hint="eastAsia" w:ascii="仿宋_GB2312" w:hAnsi="仿宋" w:eastAsia="仿宋_GB2312"/>
          <w:sz w:val="32"/>
          <w:szCs w:val="32"/>
          <w:u w:val="single" w:color="FFFFFF"/>
        </w:rPr>
        <w:t>提出申诉。</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第七条</w:t>
      </w:r>
      <w:r>
        <w:rPr>
          <w:rFonts w:hint="eastAsia" w:eastAsia="仿宋_GB2312"/>
          <w:sz w:val="32"/>
          <w:szCs w:val="32"/>
          <w:u w:val="single" w:color="FFFFFF"/>
        </w:rPr>
        <w:t> </w:t>
      </w:r>
      <w:r>
        <w:rPr>
          <w:rFonts w:hint="eastAsia" w:ascii="仿宋_GB2312" w:hAnsi="仿宋" w:eastAsia="仿宋_GB2312"/>
          <w:sz w:val="32"/>
          <w:szCs w:val="32"/>
          <w:u w:val="single" w:color="FFFFFF"/>
        </w:rPr>
        <w:t xml:space="preserve"> 学士学位证书编号管理</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（一）普通学士学位编号规则为：授予单位代码（11230）+学位级别代码（4）+授予年份+1+5位流水号；</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（二）成人学士学位编号规则为：授予单位代码（11230）+学位级别代码（4）+授予年份+2+5位流水号；</w:t>
      </w:r>
    </w:p>
    <w:p>
      <w:pPr>
        <w:spacing w:line="620" w:lineRule="exact"/>
        <w:ind w:firstLine="640" w:firstLineChars="200"/>
        <w:rPr>
          <w:rFonts w:hint="eastAsia" w:ascii="仿宋_GB2312" w:hAnsi="仿宋" w:eastAsia="仿宋_GB2312"/>
          <w:sz w:val="32"/>
          <w:szCs w:val="32"/>
          <w:u w:val="single" w:color="FFFFFF"/>
        </w:rPr>
      </w:pPr>
      <w:r>
        <w:rPr>
          <w:rFonts w:hint="eastAsia" w:ascii="仿宋_GB2312" w:hAnsi="仿宋" w:eastAsia="仿宋_GB2312"/>
          <w:sz w:val="32"/>
          <w:szCs w:val="32"/>
          <w:u w:val="single" w:color="FFFFFF"/>
        </w:rPr>
        <w:t>（三）留学生学士学位编号规则为：授予单位代码（11230）+学位级别代码（4）+授予年份+3+5位流水号。</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第八条</w:t>
      </w:r>
      <w:r>
        <w:rPr>
          <w:rFonts w:hint="eastAsia" w:eastAsia="仿宋_GB2312"/>
          <w:sz w:val="32"/>
          <w:szCs w:val="32"/>
          <w:u w:val="single" w:color="FFFFFF"/>
        </w:rPr>
        <w:t> </w:t>
      </w:r>
      <w:r>
        <w:rPr>
          <w:rFonts w:hint="eastAsia" w:ascii="仿宋_GB2312" w:hAnsi="仿宋" w:eastAsia="仿宋_GB2312"/>
          <w:sz w:val="32"/>
          <w:szCs w:val="32"/>
          <w:u w:val="single" w:color="FFFFFF"/>
        </w:rPr>
        <w:t xml:space="preserve"> 学士学位证书遗失不予补发。学位证书遗失或者损坏，经本人申请，学籍管理部门核实后出具相应的证明书。证明书与原证书具有同等效力。</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第九条</w:t>
      </w:r>
      <w:r>
        <w:rPr>
          <w:rFonts w:hint="eastAsia" w:ascii="仿宋_GB2312" w:hAnsi="仿宋" w:eastAsia="仿宋_GB2312"/>
          <w:sz w:val="32"/>
          <w:szCs w:val="32"/>
          <w:u w:val="single" w:color="FFFFFF"/>
        </w:rPr>
        <w:t xml:space="preserve">  本管理细则自公布之日起开始施行，</w:t>
      </w:r>
      <w:r>
        <w:rPr>
          <w:rFonts w:hint="eastAsia" w:ascii="仿宋_GB2312" w:hAnsi="仿宋" w:eastAsia="仿宋_GB2312"/>
          <w:sz w:val="32"/>
          <w:szCs w:val="32"/>
        </w:rPr>
        <w:t>原《齐齐哈尔医学院学士学位管理细则》（院政发</w:t>
      </w:r>
      <w:r>
        <w:rPr>
          <w:rFonts w:hint="eastAsia" w:ascii="仿宋_GB2312" w:eastAsia="仿宋_GB2312"/>
          <w:sz w:val="32"/>
          <w:szCs w:val="32"/>
        </w:rPr>
        <w:t>〔2017〕</w:t>
      </w:r>
      <w:r>
        <w:rPr>
          <w:rFonts w:hint="eastAsia" w:ascii="仿宋_GB2312" w:hAnsi="仿宋" w:eastAsia="仿宋_GB2312"/>
          <w:sz w:val="32"/>
          <w:szCs w:val="32"/>
        </w:rPr>
        <w:t>113号）</w:t>
      </w:r>
      <w:r>
        <w:rPr>
          <w:rFonts w:hint="eastAsia" w:ascii="仿宋_GB2312" w:hAnsi="仿宋" w:eastAsia="仿宋_GB2312"/>
          <w:sz w:val="32"/>
          <w:szCs w:val="32"/>
          <w:u w:val="single" w:color="FFFFFF"/>
        </w:rPr>
        <w:t>同时废止。</w:t>
      </w:r>
    </w:p>
    <w:p>
      <w:pPr>
        <w:spacing w:line="620" w:lineRule="exact"/>
        <w:ind w:firstLine="643" w:firstLineChars="200"/>
        <w:rPr>
          <w:rFonts w:hint="eastAsia" w:ascii="仿宋_GB2312" w:hAnsi="仿宋" w:eastAsia="仿宋_GB2312"/>
          <w:sz w:val="32"/>
          <w:szCs w:val="32"/>
          <w:u w:val="single" w:color="FFFFFF"/>
        </w:rPr>
      </w:pPr>
      <w:r>
        <w:rPr>
          <w:rFonts w:hint="eastAsia" w:ascii="仿宋_GB2312" w:hAnsi="仿宋" w:eastAsia="仿宋_GB2312"/>
          <w:b/>
          <w:sz w:val="32"/>
          <w:szCs w:val="32"/>
          <w:u w:val="single" w:color="FFFFFF"/>
        </w:rPr>
        <w:t>第十条</w:t>
      </w:r>
      <w:r>
        <w:rPr>
          <w:rFonts w:hint="eastAsia" w:ascii="仿宋_GB2312" w:hAnsi="仿宋" w:eastAsia="仿宋_GB2312"/>
          <w:sz w:val="32"/>
          <w:szCs w:val="32"/>
          <w:u w:val="single" w:color="FFFFFF"/>
        </w:rPr>
        <w:t xml:space="preserve">  本管理细则由学位评定委员会办公室负责解释。</w:t>
      </w:r>
    </w:p>
    <w:p>
      <w:pPr>
        <w:spacing w:line="360" w:lineRule="auto"/>
        <w:jc w:val="left"/>
        <w:rPr>
          <w:rFonts w:ascii="黑体" w:hAnsi="黑体" w:eastAsia="黑体"/>
          <w:sz w:val="32"/>
          <w:szCs w:val="32"/>
          <w:u w:val="single" w:color="FFFFFF"/>
        </w:rPr>
        <w:sectPr>
          <w:headerReference r:id="rId3" w:type="default"/>
          <w:footerReference r:id="rId4" w:type="default"/>
          <w:footerReference r:id="rId5" w:type="even"/>
          <w:pgSz w:w="11906" w:h="16838"/>
          <w:pgMar w:top="1985" w:right="1474" w:bottom="1418" w:left="1588" w:header="851" w:footer="992" w:gutter="0"/>
          <w:pgNumType w:fmt="numberInDash"/>
          <w:cols w:space="720" w:num="1"/>
          <w:titlePg/>
          <w:docGrid w:type="lines" w:linePitch="312" w:charSpace="0"/>
        </w:sect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p>
      <w:pPr>
        <w:spacing w:line="360" w:lineRule="auto"/>
        <w:jc w:val="left"/>
        <w:rPr>
          <w:rFonts w:hint="eastAsia" w:ascii="黑体" w:hAnsi="黑体" w:eastAsia="黑体"/>
          <w:sz w:val="32"/>
          <w:szCs w:val="32"/>
          <w:u w:val="single" w:color="FFFFFF"/>
        </w:rPr>
      </w:pPr>
    </w:p>
    <w:sectPr>
      <w:pgSz w:w="11906" w:h="16838"/>
      <w:pgMar w:top="1418" w:right="1474" w:bottom="1418" w:left="1588"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5"/>
        <w:rFonts w:ascii="宋体" w:hAnsi="宋体" w:eastAsia="宋体"/>
        <w:sz w:val="28"/>
        <w:szCs w:val="28"/>
      </w:rPr>
    </w:pP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- 4 -</w:t>
    </w:r>
    <w:r>
      <w:rPr>
        <w:rStyle w:val="15"/>
        <w:rFonts w:ascii="宋体" w:hAnsi="宋体" w:eastAsia="宋体"/>
        <w:sz w:val="28"/>
        <w:szCs w:val="28"/>
      </w:rPr>
      <w:fldChar w:fldCharType="end"/>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5"/>
      </w:rPr>
    </w:pPr>
    <w:r>
      <w:rPr>
        <w:rStyle w:val="15"/>
      </w:rPr>
      <w:fldChar w:fldCharType="begin"/>
    </w:r>
    <w:r>
      <w:rPr>
        <w:rStyle w:val="15"/>
      </w:rPr>
      <w:instrText xml:space="preserve">PAGE  </w:instrText>
    </w:r>
    <w:r>
      <w:rPr>
        <w:rStyle w:val="15"/>
      </w:rPr>
      <w:fldChar w:fldCharType="end"/>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7497"/>
    <w:rsid w:val="00021D49"/>
    <w:rsid w:val="00021ED5"/>
    <w:rsid w:val="0003403E"/>
    <w:rsid w:val="00036C2C"/>
    <w:rsid w:val="00037B78"/>
    <w:rsid w:val="000461F1"/>
    <w:rsid w:val="00052005"/>
    <w:rsid w:val="0005277C"/>
    <w:rsid w:val="00074A14"/>
    <w:rsid w:val="000A367C"/>
    <w:rsid w:val="000A7DBD"/>
    <w:rsid w:val="000B6182"/>
    <w:rsid w:val="000D6AD2"/>
    <w:rsid w:val="000F08AD"/>
    <w:rsid w:val="000F574E"/>
    <w:rsid w:val="00111487"/>
    <w:rsid w:val="001168AE"/>
    <w:rsid w:val="00127E99"/>
    <w:rsid w:val="00166EE7"/>
    <w:rsid w:val="00193BEE"/>
    <w:rsid w:val="001B0D4D"/>
    <w:rsid w:val="001B5FD9"/>
    <w:rsid w:val="001C1F87"/>
    <w:rsid w:val="001C5BA7"/>
    <w:rsid w:val="001C7C3E"/>
    <w:rsid w:val="001D3FC8"/>
    <w:rsid w:val="001D720D"/>
    <w:rsid w:val="001E08BF"/>
    <w:rsid w:val="001E11AE"/>
    <w:rsid w:val="001E7258"/>
    <w:rsid w:val="001F5B24"/>
    <w:rsid w:val="00207C3C"/>
    <w:rsid w:val="00212875"/>
    <w:rsid w:val="00215F85"/>
    <w:rsid w:val="002163DB"/>
    <w:rsid w:val="00230220"/>
    <w:rsid w:val="002334D0"/>
    <w:rsid w:val="002422DE"/>
    <w:rsid w:val="002612FE"/>
    <w:rsid w:val="002C758B"/>
    <w:rsid w:val="00301FB7"/>
    <w:rsid w:val="003174AD"/>
    <w:rsid w:val="003225DD"/>
    <w:rsid w:val="00332BF0"/>
    <w:rsid w:val="00334E7C"/>
    <w:rsid w:val="00344132"/>
    <w:rsid w:val="00346351"/>
    <w:rsid w:val="00374A8B"/>
    <w:rsid w:val="003763C2"/>
    <w:rsid w:val="00387DAA"/>
    <w:rsid w:val="003A7277"/>
    <w:rsid w:val="003B1372"/>
    <w:rsid w:val="003B2DA9"/>
    <w:rsid w:val="003B50D2"/>
    <w:rsid w:val="003B7A37"/>
    <w:rsid w:val="003C0F11"/>
    <w:rsid w:val="003D3B36"/>
    <w:rsid w:val="003D3B4B"/>
    <w:rsid w:val="003F67AC"/>
    <w:rsid w:val="004031FD"/>
    <w:rsid w:val="004051EA"/>
    <w:rsid w:val="0042611A"/>
    <w:rsid w:val="00427467"/>
    <w:rsid w:val="00443426"/>
    <w:rsid w:val="00460078"/>
    <w:rsid w:val="00471A7C"/>
    <w:rsid w:val="00481AD9"/>
    <w:rsid w:val="004853AA"/>
    <w:rsid w:val="00497265"/>
    <w:rsid w:val="004A269C"/>
    <w:rsid w:val="004A3C20"/>
    <w:rsid w:val="004B2BD7"/>
    <w:rsid w:val="004C4C3E"/>
    <w:rsid w:val="004C5ABA"/>
    <w:rsid w:val="004E3890"/>
    <w:rsid w:val="004F3D1F"/>
    <w:rsid w:val="004F6BDD"/>
    <w:rsid w:val="00500FBB"/>
    <w:rsid w:val="00531638"/>
    <w:rsid w:val="00531856"/>
    <w:rsid w:val="005455B0"/>
    <w:rsid w:val="00552217"/>
    <w:rsid w:val="00560D8E"/>
    <w:rsid w:val="00560E5E"/>
    <w:rsid w:val="00580DC9"/>
    <w:rsid w:val="005831A4"/>
    <w:rsid w:val="00594D23"/>
    <w:rsid w:val="00596F2E"/>
    <w:rsid w:val="005A4969"/>
    <w:rsid w:val="005A7223"/>
    <w:rsid w:val="005B30BC"/>
    <w:rsid w:val="005B3737"/>
    <w:rsid w:val="005D1D9D"/>
    <w:rsid w:val="005D2E68"/>
    <w:rsid w:val="005D3E5D"/>
    <w:rsid w:val="005E6361"/>
    <w:rsid w:val="006045FF"/>
    <w:rsid w:val="0060511E"/>
    <w:rsid w:val="00610B30"/>
    <w:rsid w:val="00621BD5"/>
    <w:rsid w:val="00626E49"/>
    <w:rsid w:val="006529C4"/>
    <w:rsid w:val="00654196"/>
    <w:rsid w:val="006554A1"/>
    <w:rsid w:val="00692003"/>
    <w:rsid w:val="00692A6F"/>
    <w:rsid w:val="00697353"/>
    <w:rsid w:val="006A2B19"/>
    <w:rsid w:val="006A5D16"/>
    <w:rsid w:val="006B0822"/>
    <w:rsid w:val="006B4A61"/>
    <w:rsid w:val="006C4A52"/>
    <w:rsid w:val="006D2960"/>
    <w:rsid w:val="006E1191"/>
    <w:rsid w:val="006F1627"/>
    <w:rsid w:val="006F17F5"/>
    <w:rsid w:val="006F3E25"/>
    <w:rsid w:val="006F4CD1"/>
    <w:rsid w:val="007076E9"/>
    <w:rsid w:val="00711C28"/>
    <w:rsid w:val="00723244"/>
    <w:rsid w:val="00733885"/>
    <w:rsid w:val="00741933"/>
    <w:rsid w:val="00744564"/>
    <w:rsid w:val="007707C4"/>
    <w:rsid w:val="00795FC6"/>
    <w:rsid w:val="007A30C4"/>
    <w:rsid w:val="007B1A7C"/>
    <w:rsid w:val="007B23B4"/>
    <w:rsid w:val="007C0ED0"/>
    <w:rsid w:val="007E5F71"/>
    <w:rsid w:val="007F3DD2"/>
    <w:rsid w:val="007F52AF"/>
    <w:rsid w:val="00804337"/>
    <w:rsid w:val="008156E1"/>
    <w:rsid w:val="0083357B"/>
    <w:rsid w:val="00837042"/>
    <w:rsid w:val="008424DE"/>
    <w:rsid w:val="00854069"/>
    <w:rsid w:val="0085513B"/>
    <w:rsid w:val="00863B74"/>
    <w:rsid w:val="008D3DEF"/>
    <w:rsid w:val="008D714A"/>
    <w:rsid w:val="008E54F0"/>
    <w:rsid w:val="00904FBE"/>
    <w:rsid w:val="009222A8"/>
    <w:rsid w:val="009418EF"/>
    <w:rsid w:val="009651CA"/>
    <w:rsid w:val="009714E0"/>
    <w:rsid w:val="00973FB3"/>
    <w:rsid w:val="009930EA"/>
    <w:rsid w:val="00993AEF"/>
    <w:rsid w:val="009A0E78"/>
    <w:rsid w:val="009A24A1"/>
    <w:rsid w:val="009C49FA"/>
    <w:rsid w:val="009D016A"/>
    <w:rsid w:val="009E36B5"/>
    <w:rsid w:val="00A01B42"/>
    <w:rsid w:val="00A23B21"/>
    <w:rsid w:val="00A249AE"/>
    <w:rsid w:val="00A40666"/>
    <w:rsid w:val="00A410FD"/>
    <w:rsid w:val="00A429BB"/>
    <w:rsid w:val="00A62B5C"/>
    <w:rsid w:val="00A74480"/>
    <w:rsid w:val="00AA29A0"/>
    <w:rsid w:val="00AA34CF"/>
    <w:rsid w:val="00B05DD7"/>
    <w:rsid w:val="00B1197B"/>
    <w:rsid w:val="00B462A4"/>
    <w:rsid w:val="00B50652"/>
    <w:rsid w:val="00B57A94"/>
    <w:rsid w:val="00B65706"/>
    <w:rsid w:val="00B7258F"/>
    <w:rsid w:val="00B83E26"/>
    <w:rsid w:val="00B85B45"/>
    <w:rsid w:val="00B91714"/>
    <w:rsid w:val="00B91A29"/>
    <w:rsid w:val="00BA7041"/>
    <w:rsid w:val="00BA7A9D"/>
    <w:rsid w:val="00BB0940"/>
    <w:rsid w:val="00BD5981"/>
    <w:rsid w:val="00C02DA0"/>
    <w:rsid w:val="00C10D02"/>
    <w:rsid w:val="00C158CF"/>
    <w:rsid w:val="00C212D7"/>
    <w:rsid w:val="00C24E42"/>
    <w:rsid w:val="00C36518"/>
    <w:rsid w:val="00C37E68"/>
    <w:rsid w:val="00C4021A"/>
    <w:rsid w:val="00C667D0"/>
    <w:rsid w:val="00C756A3"/>
    <w:rsid w:val="00CC2327"/>
    <w:rsid w:val="00CD4856"/>
    <w:rsid w:val="00CD6232"/>
    <w:rsid w:val="00CE5ACC"/>
    <w:rsid w:val="00CF620F"/>
    <w:rsid w:val="00CF7276"/>
    <w:rsid w:val="00D043E4"/>
    <w:rsid w:val="00D10E92"/>
    <w:rsid w:val="00D3072A"/>
    <w:rsid w:val="00D63448"/>
    <w:rsid w:val="00D72D15"/>
    <w:rsid w:val="00D768F7"/>
    <w:rsid w:val="00D823BC"/>
    <w:rsid w:val="00D91E5F"/>
    <w:rsid w:val="00DA38D1"/>
    <w:rsid w:val="00DA42A1"/>
    <w:rsid w:val="00DA7497"/>
    <w:rsid w:val="00DB1B35"/>
    <w:rsid w:val="00DB508F"/>
    <w:rsid w:val="00DF194B"/>
    <w:rsid w:val="00E129ED"/>
    <w:rsid w:val="00E2143B"/>
    <w:rsid w:val="00E319C1"/>
    <w:rsid w:val="00E33469"/>
    <w:rsid w:val="00E34A61"/>
    <w:rsid w:val="00E50A49"/>
    <w:rsid w:val="00E66DCD"/>
    <w:rsid w:val="00E74BA8"/>
    <w:rsid w:val="00E923F5"/>
    <w:rsid w:val="00E9425B"/>
    <w:rsid w:val="00EB6451"/>
    <w:rsid w:val="00ED0AF2"/>
    <w:rsid w:val="00ED2E74"/>
    <w:rsid w:val="00EE4C22"/>
    <w:rsid w:val="00EF4B46"/>
    <w:rsid w:val="00F02606"/>
    <w:rsid w:val="00F040EF"/>
    <w:rsid w:val="00F124F8"/>
    <w:rsid w:val="00F21390"/>
    <w:rsid w:val="00F23825"/>
    <w:rsid w:val="00F322A0"/>
    <w:rsid w:val="00F45F37"/>
    <w:rsid w:val="00F61105"/>
    <w:rsid w:val="00F649D9"/>
    <w:rsid w:val="00F65AE7"/>
    <w:rsid w:val="00F6627F"/>
    <w:rsid w:val="00F7534E"/>
    <w:rsid w:val="00F84162"/>
    <w:rsid w:val="00F92EAA"/>
    <w:rsid w:val="00FA4015"/>
    <w:rsid w:val="00FB2DB8"/>
    <w:rsid w:val="00FC2094"/>
    <w:rsid w:val="00FC4EBD"/>
    <w:rsid w:val="00FD0A2E"/>
    <w:rsid w:val="00FD19AA"/>
    <w:rsid w:val="00FD7483"/>
    <w:rsid w:val="00FE455E"/>
    <w:rsid w:val="00FE701B"/>
    <w:rsid w:val="05112F94"/>
    <w:rsid w:val="06F13923"/>
    <w:rsid w:val="0850251D"/>
    <w:rsid w:val="0C39497D"/>
    <w:rsid w:val="12626E57"/>
    <w:rsid w:val="12C7496E"/>
    <w:rsid w:val="1FAD1ABF"/>
    <w:rsid w:val="27A47C93"/>
    <w:rsid w:val="2B8E7E72"/>
    <w:rsid w:val="2BAC2DA2"/>
    <w:rsid w:val="2FA34517"/>
    <w:rsid w:val="33D35F89"/>
    <w:rsid w:val="36770DE0"/>
    <w:rsid w:val="3AE2648E"/>
    <w:rsid w:val="3C072DCF"/>
    <w:rsid w:val="3E4D7509"/>
    <w:rsid w:val="3F4155F5"/>
    <w:rsid w:val="3F637063"/>
    <w:rsid w:val="464D347A"/>
    <w:rsid w:val="487553FC"/>
    <w:rsid w:val="4B6F3520"/>
    <w:rsid w:val="543276B0"/>
    <w:rsid w:val="56D61383"/>
    <w:rsid w:val="56E205BC"/>
    <w:rsid w:val="58E05743"/>
    <w:rsid w:val="5A5567AD"/>
    <w:rsid w:val="5F78745E"/>
    <w:rsid w:val="60704DC8"/>
    <w:rsid w:val="694325A7"/>
    <w:rsid w:val="6F9E3534"/>
    <w:rsid w:val="708F4EFA"/>
    <w:rsid w:val="70EE0F95"/>
    <w:rsid w:val="75F81035"/>
    <w:rsid w:val="76D135F6"/>
    <w:rsid w:val="7A27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paragraph" w:styleId="2">
    <w:name w:val="heading 1"/>
    <w:basedOn w:val="1"/>
    <w:next w:val="1"/>
    <w:qFormat/>
    <w:uiPriority w:val="0"/>
    <w:pPr>
      <w:autoSpaceDE w:val="0"/>
      <w:autoSpaceDN w:val="0"/>
      <w:spacing w:line="642" w:lineRule="exact"/>
      <w:ind w:left="890" w:right="929"/>
      <w:jc w:val="center"/>
      <w:outlineLvl w:val="0"/>
    </w:pPr>
    <w:rPr>
      <w:rFonts w:ascii="方正小标宋简体" w:hAnsi="方正小标宋简体" w:eastAsia="方正小标宋简体" w:cs="方正小标宋简体"/>
      <w:kern w:val="0"/>
      <w:sz w:val="44"/>
      <w:szCs w:val="44"/>
      <w:lang w:val="zh-CN" w:bidi="zh-CN"/>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Body Text"/>
    <w:basedOn w:val="1"/>
    <w:uiPriority w:val="0"/>
    <w:pPr>
      <w:spacing w:after="120"/>
    </w:pPr>
  </w:style>
  <w:style w:type="paragraph" w:styleId="5">
    <w:name w:val="Body Text Indent"/>
    <w:basedOn w:val="1"/>
    <w:uiPriority w:val="0"/>
    <w:pPr>
      <w:spacing w:after="120"/>
      <w:ind w:left="420" w:leftChars="200"/>
    </w:pPr>
  </w:style>
  <w:style w:type="paragraph" w:styleId="6">
    <w:name w:val="Balloon Text"/>
    <w:basedOn w:val="1"/>
    <w:link w:val="19"/>
    <w:semiHidden/>
    <w:unhideWhenUsed/>
    <w:qFormat/>
    <w:uiPriority w:val="99"/>
    <w:rPr>
      <w:rFonts w:ascii="宋体" w:eastAsia="宋体"/>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3"/>
    <w:next w:val="3"/>
    <w:link w:val="22"/>
    <w:semiHidden/>
    <w:unhideWhenUsed/>
    <w:qFormat/>
    <w:uiPriority w:val="99"/>
    <w:rPr>
      <w:b/>
      <w:bCs/>
    </w:rPr>
  </w:style>
  <w:style w:type="paragraph" w:styleId="11">
    <w:name w:val="Body Text First Indent 2"/>
    <w:basedOn w:val="5"/>
    <w:uiPriority w:val="0"/>
    <w:pPr>
      <w:ind w:firstLine="420" w:firstLineChars="200"/>
    </w:pPr>
  </w:style>
  <w:style w:type="character" w:styleId="14">
    <w:name w:val="Strong"/>
    <w:basedOn w:val="13"/>
    <w:qFormat/>
    <w:uiPriority w:val="22"/>
    <w:rPr>
      <w:b/>
      <w:bCs/>
    </w:rPr>
  </w:style>
  <w:style w:type="character" w:styleId="15">
    <w:name w:val="page number"/>
    <w:basedOn w:val="13"/>
    <w:uiPriority w:val="0"/>
  </w:style>
  <w:style w:type="character" w:styleId="16">
    <w:name w:val="Hyperlink"/>
    <w:uiPriority w:val="0"/>
    <w:rPr>
      <w:color w:val="0000FF"/>
      <w:u w:val="single"/>
    </w:rPr>
  </w:style>
  <w:style w:type="character" w:styleId="17">
    <w:name w:val="annotation reference"/>
    <w:basedOn w:val="13"/>
    <w:semiHidden/>
    <w:unhideWhenUsed/>
    <w:qFormat/>
    <w:uiPriority w:val="99"/>
    <w:rPr>
      <w:sz w:val="21"/>
      <w:szCs w:val="21"/>
    </w:rPr>
  </w:style>
  <w:style w:type="character" w:customStyle="1" w:styleId="18">
    <w:name w:val="批注文字 Char"/>
    <w:basedOn w:val="13"/>
    <w:link w:val="3"/>
    <w:semiHidden/>
    <w:qFormat/>
    <w:uiPriority w:val="99"/>
  </w:style>
  <w:style w:type="character" w:customStyle="1" w:styleId="19">
    <w:name w:val="批注框文本 Char"/>
    <w:basedOn w:val="13"/>
    <w:link w:val="6"/>
    <w:semiHidden/>
    <w:qFormat/>
    <w:uiPriority w:val="99"/>
    <w:rPr>
      <w:rFonts w:ascii="宋体" w:eastAsia="宋体"/>
      <w:sz w:val="18"/>
      <w:szCs w:val="18"/>
    </w:rPr>
  </w:style>
  <w:style w:type="character" w:customStyle="1" w:styleId="20">
    <w:name w:val="页脚 Char"/>
    <w:basedOn w:val="13"/>
    <w:link w:val="7"/>
    <w:qFormat/>
    <w:uiPriority w:val="99"/>
    <w:rPr>
      <w:sz w:val="18"/>
      <w:szCs w:val="18"/>
    </w:rPr>
  </w:style>
  <w:style w:type="character" w:customStyle="1" w:styleId="21">
    <w:name w:val="页眉 Char"/>
    <w:basedOn w:val="13"/>
    <w:link w:val="8"/>
    <w:semiHidden/>
    <w:qFormat/>
    <w:uiPriority w:val="99"/>
    <w:rPr>
      <w:sz w:val="18"/>
      <w:szCs w:val="18"/>
    </w:rPr>
  </w:style>
  <w:style w:type="character" w:customStyle="1" w:styleId="22">
    <w:name w:val="批注主题 Char"/>
    <w:basedOn w:val="18"/>
    <w:link w:val="10"/>
    <w:semiHidden/>
    <w:qFormat/>
    <w:uiPriority w:val="99"/>
    <w:rPr>
      <w:b/>
      <w:bCs/>
    </w:rPr>
  </w:style>
  <w:style w:type="character" w:customStyle="1" w:styleId="23">
    <w:name w:val="apple-converted-space"/>
    <w:basedOn w:val="13"/>
    <w:qFormat/>
    <w:uiPriority w:val="0"/>
  </w:style>
  <w:style w:type="paragraph" w:styleId="24">
    <w:name w:val="List Paragraph"/>
    <w:basedOn w:val="1"/>
    <w:qFormat/>
    <w:uiPriority w:val="34"/>
    <w:pPr>
      <w:ind w:firstLine="420" w:firstLineChars="200"/>
    </w:pPr>
  </w:style>
  <w:style w:type="character" w:customStyle="1" w:styleId="25">
    <w:name w:val="页脚 Char1"/>
    <w:qFormat/>
    <w:uiPriority w:val="0"/>
    <w:rPr>
      <w:rFonts w:eastAsia="宋体"/>
      <w:kern w:val="2"/>
      <w:sz w:val="18"/>
      <w:szCs w:val="18"/>
      <w:lang w:val="en-US" w:eastAsia="zh-CN" w:bidi="ar-SA"/>
    </w:rPr>
  </w:style>
  <w:style w:type="paragraph" w:customStyle="1" w:styleId="26">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List Paragraph1"/>
    <w:basedOn w:val="1"/>
    <w:qFormat/>
    <w:uiPriority w:val="0"/>
    <w:pPr>
      <w:ind w:firstLine="420" w:firstLineChars="200"/>
    </w:pPr>
    <w:rPr>
      <w:rFonts w:ascii="Calibri" w:hAnsi="Calibri" w:eastAsia="宋体"/>
      <w:szCs w:val="22"/>
    </w:rPr>
  </w:style>
  <w:style w:type="paragraph" w:customStyle="1" w:styleId="28">
    <w:name w:val="Table Paragraph"/>
    <w:basedOn w:val="1"/>
    <w:qFormat/>
    <w:uiPriority w:val="0"/>
    <w:pPr>
      <w:autoSpaceDE w:val="0"/>
      <w:autoSpaceDN w:val="0"/>
      <w:jc w:val="left"/>
    </w:pPr>
    <w:rPr>
      <w:rFonts w:ascii="仿宋_GB2312" w:hAnsi="仿宋_GB2312" w:eastAsia="仿宋_GB2312" w:cs="仿宋_GB2312"/>
      <w:kern w:val="0"/>
      <w:sz w:val="22"/>
      <w:szCs w:val="22"/>
      <w:lang w:val="zh-CN" w:bidi="zh-CN"/>
    </w:rPr>
  </w:style>
  <w:style w:type="paragraph" w:customStyle="1" w:styleId="29">
    <w:name w:val="列出段落1"/>
    <w:basedOn w:val="1"/>
    <w:qFormat/>
    <w:uiPriority w:val="0"/>
    <w:pPr>
      <w:ind w:firstLine="420" w:firstLineChars="200"/>
    </w:pPr>
    <w:rPr>
      <w:rFonts w:ascii="Calibri" w:hAnsi="Calibri" w:eastAsia="宋体" w:cs="Calibri"/>
      <w:szCs w:val="21"/>
    </w:rPr>
  </w:style>
  <w:style w:type="paragraph" w:styleId="30">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31">
    <w:name w:val="列表段落"/>
    <w:basedOn w:val="1"/>
    <w:qFormat/>
    <w:uiPriority w:val="0"/>
    <w:pPr>
      <w:widowControl/>
      <w:ind w:left="720"/>
      <w:contextualSpacing/>
      <w:jc w:val="left"/>
    </w:pPr>
    <w:rPr>
      <w:rFonts w:ascii="Times New Roman" w:hAnsi="Times New Roman" w:eastAsia="宋体"/>
      <w:kern w:val="0"/>
      <w:sz w:val="24"/>
      <w:lang w:eastAsia="en-US"/>
    </w:rPr>
  </w:style>
  <w:style w:type="character" w:customStyle="1" w:styleId="32">
    <w:name w:val="Footer Char"/>
    <w:basedOn w:val="13"/>
    <w:semiHidden/>
    <w:qFormat/>
    <w:locked/>
    <w:uiPriority w:val="0"/>
    <w:rPr>
      <w:rFonts w:eastAsia="仿宋_GB2312"/>
      <w:kern w:val="2"/>
      <w:sz w:val="18"/>
      <w:szCs w:val="18"/>
      <w:lang w:bidi="ar-SA"/>
    </w:rPr>
  </w:style>
  <w:style w:type="character" w:customStyle="1" w:styleId="33">
    <w:name w:val="Header Char"/>
    <w:basedOn w:val="13"/>
    <w:semiHidden/>
    <w:qFormat/>
    <w:locked/>
    <w:uiPriority w:val="0"/>
    <w:rPr>
      <w:rFonts w:eastAsia="仿宋_GB2312"/>
      <w:kern w:val="2"/>
      <w:sz w:val="18"/>
      <w:szCs w:val="18"/>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277</Words>
  <Characters>1583</Characters>
  <Lines>13</Lines>
  <Paragraphs>3</Paragraphs>
  <TotalTime>3</TotalTime>
  <ScaleCrop>false</ScaleCrop>
  <LinksUpToDate>false</LinksUpToDate>
  <CharactersWithSpaces>1857</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2021-06-24T08:41:00Z</dcterms:created>
  <dc:creator>於 泳</dc:creator>
  <cp:lastModifiedBy>丹</cp:lastModifiedBy>
  <cp:lastPrinted>2021-06-24T08:31:00Z</cp:lastPrinted>
  <dcterms:modified xsi:type="dcterms:W3CDTF">2022-05-02T06:59:24Z</dcterms:modified>
  <dc:title>院政发〔2020〕21号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