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附件1</w:t>
      </w:r>
    </w:p>
    <w:p>
      <w:pPr>
        <w:pStyle w:val="2"/>
        <w:widowControl/>
        <w:rPr>
          <w:lang w:val="en-US"/>
        </w:rPr>
      </w:pPr>
    </w:p>
    <w:p>
      <w:pPr>
        <w:pStyle w:val="2"/>
        <w:widowControl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黑龙江省青年科技人才托举工程项目管理办法（试行）</w:t>
      </w:r>
    </w:p>
    <w:p>
      <w:pPr>
        <w:pStyle w:val="2"/>
        <w:widowControl/>
        <w:spacing w:after="0" w:afterAutospacing="0"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</w:p>
    <w:p>
      <w:pPr>
        <w:pStyle w:val="2"/>
        <w:widowControl/>
        <w:spacing w:after="0" w:afterAutospacing="0" w:line="560" w:lineRule="exact"/>
        <w:jc w:val="center"/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第一章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  <w:t xml:space="preserve">  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总则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第一条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CESI仿宋-GB2312" w:hAnsi="CESI仿宋-GB2312" w:eastAsia="CESI仿宋-GB2312" w:cs="CESI仿宋-GB2312"/>
          <w:color w:val="000000"/>
          <w:kern w:val="0"/>
          <w:sz w:val="32"/>
          <w:szCs w:val="32"/>
          <w:lang w:eastAsia="zh-CN" w:bidi="ar"/>
        </w:rPr>
        <w:t>为深入贯彻习近平总书记关于做好新时代人才工作的重要思想，全面落实中央和省委人才工作会议精神，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进一步加强我省高层次科技创新后备人才队伍建设，规范黑龙江省青年科技人才托举工程（以下简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称托举工程）项目实施，制定本办法。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第二条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托举工程项目的宗旨是探索创新青年科技人才选拔培养机制，遴选具有较强创新能力和发展潜力的优秀青年科技人才，支持他们在“科研黄金期”潜心研究、深入探索，激发他们的创新热情和创造活力，尽快成长为我省高层次科技创新人才的后备力量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第三条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托举工程项目是由黑龙江省科协组织实施的人才联系服务项目。托举工程人选在全省范围内进行选拔，每年选拔一批，每批人数不超过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名，托举培养周期为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年。</w:t>
      </w:r>
    </w:p>
    <w:p>
      <w:pPr>
        <w:pStyle w:val="2"/>
        <w:widowControl/>
        <w:spacing w:after="0" w:afterAutospacing="0" w:line="560" w:lineRule="exact"/>
        <w:jc w:val="center"/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第二章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  <w:t xml:space="preserve">  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人选条件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第四条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托举工程项目人选应具备以下条件：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（一）拥护党的路线、方针、政策，热爱祖国，遵纪守法，恪守科研诚信规范，具有优良学风；具有创新、求实、协作、奉献的科学精神。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（二）年龄在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32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周岁（含）以下（按推荐年度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日实足年龄计算）的全职在黑龙江省工作的中国籍公民；女性或医学领域的人选年龄可放宽至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35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周岁。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（三）具有全日制博士以上学位，在自然科学领域从事基础研究、应用研究、技术研发的一线优秀青年科技工作者。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40" w:firstLineChars="200"/>
        <w:rPr>
          <w:rFonts w:hint="eastAsia" w:ascii="CESI仿宋-GB2312" w:hAnsi="CESI仿宋-GB2312" w:eastAsia="CESI仿宋-GB2312" w:cs="CESI仿宋-GB2312"/>
          <w:color w:val="191919"/>
          <w:sz w:val="32"/>
          <w:szCs w:val="32"/>
          <w:shd w:val="clear" w:fill="FFFFFF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CN"/>
        </w:rPr>
        <w:t>（四）具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fill="FFFFFF"/>
          <w:lang w:eastAsia="zh-CN"/>
        </w:rPr>
        <w:t>有较强的科研创新能力和突出的科研潜质，有独立完成科研项目的能力，有承担或参加国家及行业重点科研项目的经历，或是推荐单位拟重点培养的优秀青年人才。</w:t>
      </w:r>
      <w:r>
        <w:rPr>
          <w:rFonts w:hint="eastAsia" w:ascii="CESI仿宋-GB2312" w:hAnsi="CESI仿宋-GB2312" w:eastAsia="CESI仿宋-GB2312" w:cs="CESI仿宋-GB2312"/>
          <w:color w:val="191919"/>
          <w:sz w:val="32"/>
          <w:szCs w:val="32"/>
          <w:shd w:val="clear" w:fill="FFFFFF"/>
          <w:lang w:eastAsia="zh-CN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40" w:firstLineChars="200"/>
        <w:rPr>
          <w:rFonts w:hint="eastAsia" w:ascii="CESI仿宋-GB2312" w:hAnsi="CESI仿宋-GB2312" w:eastAsia="CESI仿宋-GB2312" w:cs="CESI仿宋-GB2312"/>
          <w:color w:val="191919"/>
          <w:sz w:val="32"/>
          <w:szCs w:val="32"/>
          <w:shd w:val="clear" w:fill="FFFFFF"/>
          <w:lang w:val="en-US"/>
        </w:rPr>
      </w:pPr>
      <w:r>
        <w:rPr>
          <w:rFonts w:hint="eastAsia" w:ascii="CESI黑体-GB13000" w:hAnsi="CESI黑体-GB13000" w:eastAsia="CESI黑体-GB13000" w:cs="CESI黑体-GB13000"/>
          <w:color w:val="191919"/>
          <w:sz w:val="32"/>
          <w:szCs w:val="32"/>
          <w:shd w:val="clear" w:fill="FFFFFF"/>
          <w:lang w:eastAsia="zh-CN"/>
        </w:rPr>
        <w:t xml:space="preserve">第五条 </w:t>
      </w:r>
      <w:r>
        <w:rPr>
          <w:rFonts w:hint="eastAsia" w:ascii="CESI仿宋-GB2312" w:hAnsi="CESI仿宋-GB2312" w:eastAsia="CESI仿宋-GB2312" w:cs="CESI仿宋-GB2312"/>
          <w:color w:val="191919"/>
          <w:sz w:val="32"/>
          <w:szCs w:val="32"/>
          <w:shd w:val="clear" w:fill="FFFFFF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fill="FFFFFF"/>
          <w:lang w:eastAsia="zh-CN"/>
        </w:rPr>
        <w:t>重点支持领域：航空航天、电子信息、新材料、高端装备、农机装备、生物技术、现代农业等战略性新兴产业和前沿科技研发。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  <w:shd w:val="clear" w:fill="FFFFFF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shd w:val="clear" w:fill="FFFFFF"/>
          <w:lang w:eastAsia="zh-CN"/>
        </w:rPr>
        <w:t>第六条</w:t>
      </w:r>
      <w:r>
        <w:rPr>
          <w:rFonts w:hint="eastAsia" w:ascii="方正仿宋_GBK" w:hAnsi="方正仿宋_GBK" w:eastAsia="方正仿宋_GBK" w:cs="方正仿宋_GBK"/>
          <w:sz w:val="32"/>
          <w:szCs w:val="32"/>
          <w:shd w:val="clear" w:fill="FFFFFF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CN"/>
        </w:rPr>
        <w:t>应确定至少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CN"/>
        </w:rPr>
        <w:t>名具有相同或相近研究领域的高层次专家作为培养导师，承担对被托举人选的指导、扶持责任。</w:t>
      </w:r>
      <w:r>
        <w:rPr>
          <w:rFonts w:hint="eastAsia" w:ascii="方正仿宋_GBK" w:hAnsi="方正仿宋_GBK" w:eastAsia="方正仿宋_GBK" w:cs="方正仿宋_GBK"/>
          <w:sz w:val="32"/>
          <w:szCs w:val="32"/>
          <w:shd w:val="clear" w:fill="FFFFFF"/>
          <w:lang w:val="en-US"/>
        </w:rPr>
        <w:t xml:space="preserve">  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  <w:shd w:val="clear" w:fill="FFFFFF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shd w:val="clear" w:fill="FFFFFF"/>
          <w:lang w:eastAsia="zh-CN"/>
        </w:rPr>
        <w:t>第七条</w:t>
      </w:r>
      <w:r>
        <w:rPr>
          <w:rFonts w:hint="eastAsia" w:ascii="方正仿宋_GBK" w:hAnsi="方正仿宋_GBK" w:eastAsia="方正仿宋_GBK" w:cs="方正仿宋_GBK"/>
          <w:sz w:val="32"/>
          <w:szCs w:val="32"/>
          <w:shd w:val="clear" w:fill="FFFFFF"/>
          <w:lang w:val="en-US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shd w:val="clear" w:fill="FFFFFF"/>
          <w:lang w:eastAsia="zh-CN"/>
        </w:rPr>
        <w:t>已入选其他国家级或省部级人才工程、计划、项目的人选</w:t>
      </w:r>
      <w:r>
        <w:rPr>
          <w:rFonts w:hint="eastAsia" w:ascii="方正仿宋_GBK" w:hAnsi="方正仿宋_GBK" w:eastAsia="方正仿宋_GBK" w:cs="方正仿宋_GBK"/>
          <w:sz w:val="32"/>
          <w:szCs w:val="32"/>
          <w:shd w:val="clear" w:fill="FFFFFF"/>
          <w:lang w:val="en-US" w:eastAsia="zh-CN"/>
        </w:rPr>
        <w:t>不能入选托举工程项目，</w:t>
      </w:r>
      <w:r>
        <w:rPr>
          <w:rFonts w:hint="eastAsia" w:ascii="方正仿宋_GBK" w:hAnsi="方正仿宋_GBK" w:eastAsia="方正仿宋_GBK" w:cs="方正仿宋_GBK"/>
          <w:sz w:val="32"/>
          <w:szCs w:val="32"/>
          <w:shd w:val="clear" w:fill="FFFFFF"/>
          <w:lang w:eastAsia="zh-CN"/>
        </w:rPr>
        <w:t>博士后相关资助计划除外。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jc w:val="center"/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第三章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  <w:t xml:space="preserve">  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推荐与评审程序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第八条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托举工程项目候选人由推荐单位推荐产生，推荐单位为省科协所属省级学会，全省范围内的各高校科协、企业（园区）科协。同一人选不可同时通过两个或以上渠道推荐。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 xml:space="preserve">第九条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省科协组织有关专家成立专家评审组，根据候选人科研实力和发展潜力、成长发展规划、项目实施单位托举条件以及培养导师科研水平等指标，进行综合评审，确定被托举人建议人选。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第十条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省科协对被托举人建议人选名单进行公示，公示期为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个工作日。公示期间接到投诉举报并查实的，将取消人选入选资格。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jc w:val="center"/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第四章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  <w:t xml:space="preserve">  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托举工作职责与任务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第十一条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被托举人确定后，其所在单位即为项目实施单位，负责项目的具体实施工作。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 xml:space="preserve">第十二条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项目实施单位的主要职责为：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（一）履行对被托举人的培养、使用、激励主体责任，制定培养计划，推动项目实施，配合开展工作总结和绩效评价，并接受省科协对托举工程项目的监督和指导。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（二）主动参与被托举人的培养，在承担课题研究、开展技术攻关、奖项推荐、培训进修、参加学术交流活动等工作中，为被托举人提供支持保障。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 xml:space="preserve">第十三条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培养导师的主要职责为：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（一）协助被托举人制定个人成长发展规划，对被托举人经费使用计划进行审核。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（二）在提升科研攻关能力、拓展科技视野、提升实践创新能力、遵守学术道德等方面，对被托举人的成长与发展进行指导。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（三）利用自身学术资源，为被托举人拓展对外交流渠道，提升学术能力，扩大学术影响。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第十四条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被托举人的主要任务为：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（一）制定个人成长发展规划及经费使用计划。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（二）落实发展规划任务，在承担科研项目、论文发表、专利研发、技术推广应用等工作中取得成长提升。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（三）配合省科协的监督和评价工作并及时反馈个人成长情况，积极完成省科协根据托举工程需要交办的相关事项。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（四）在项目期内公开发表的项目学术论文或研究报告应注明：“黑龙江省青年科技人才托举工程资助”字样。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第十五条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省科协的主要职责为：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（一）负责落实项目资金，并按时向项目实施单位进行拨付。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（二）将被托举人纳入联系专家人才范围，推荐其加入相关学术组织，邀请被托举人参加省科协组织的学术交流活动，提供创造跨学科、跨领域的交流机会，拓宽成长空间。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（三）对被托举人进行跟踪服务，帮助解决实际困难。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（四）负责对托举工作实施效果进行监督和评价。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jc w:val="center"/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第五章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  <w:t xml:space="preserve">  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项目管理和经费使用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第十六条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项目实施单位应在接到通知后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天内，与省科协签署项目合同书，逾期按自动放弃处理。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第十七条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省科协对项目进行年度绩效评价和结项验收。项目实施单位、被托举人在项目实施一个年度后须向省科协报送托举工作进展情况。项目结束后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个月内，项目实施单位、被托举人须向省科协提交结项报告，主要包括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年工作总体情况、经费使用情况以及被托举人成长情况等内容。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第十八条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如被托举人出现因自身原因无法继续参与托举工程项目，或发生违背科学道德、弄虚作假或触犯国家法律等行为受到处理等情况，省科协将取消被托举人资格，并收回剩余资金。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第十九条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省科协按照每位被托举人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万元标准给予经费支持，鼓励项目实施单位给予经费配套。资助经费使用执行省级财政经费相关管理规定，任何单位、个人不得截留、挪用或挤占，不得收取项目管理费。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第二十条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被托举人对项目经费有自主支配权，资助经费的使用范围主要包括：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vertAlign w:val="baseline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vertAlign w:val="baseline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vertAlign w:val="baseline"/>
          <w:lang w:eastAsia="zh-CN"/>
        </w:rPr>
        <w:t>被托举人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vertAlign w:val="baseline"/>
          <w:lang w:eastAsia="zh-CN"/>
        </w:rPr>
        <w:t>发起或召开的学术会议、学术沙龙等费用。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vertAlign w:val="baseline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vertAlign w:val="baseline"/>
          <w:lang w:eastAsia="zh-CN"/>
        </w:rPr>
        <w:t>（二）被托举人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vertAlign w:val="baseline"/>
          <w:lang w:eastAsia="zh-CN"/>
        </w:rPr>
        <w:t>开展科学试验、科学研究和科技调研等产生的材料费、印刷费等费用。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vertAlign w:val="baseline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vertAlign w:val="baseline"/>
          <w:lang w:eastAsia="zh-CN"/>
        </w:rPr>
        <w:t>（三）被托举人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vertAlign w:val="baseline"/>
          <w:lang w:eastAsia="zh-CN"/>
        </w:rPr>
        <w:t>所持有科技成果中试、转化等费用。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vertAlign w:val="baseline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vertAlign w:val="baseline"/>
          <w:lang w:eastAsia="zh-CN"/>
        </w:rPr>
        <w:t>（四）被托举人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vertAlign w:val="baseline"/>
          <w:lang w:eastAsia="zh-CN"/>
        </w:rPr>
        <w:t>第一作者或者通讯作者身份发表的论文和论文集等出版费用。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vertAlign w:val="baseline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vertAlign w:val="baseline"/>
          <w:lang w:eastAsia="zh-CN"/>
        </w:rPr>
        <w:t>（五）被托举人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vertAlign w:val="baseline"/>
          <w:lang w:eastAsia="zh-CN"/>
        </w:rPr>
        <w:t>参加国内外科研团队组织的科研攻关、学术交流等活动所产生的差旅费等开支。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vertAlign w:val="baseline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vertAlign w:val="baseline"/>
          <w:lang w:eastAsia="zh-CN"/>
        </w:rPr>
        <w:t>（六）被托举人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vertAlign w:val="baseline"/>
          <w:lang w:eastAsia="zh-CN"/>
        </w:rPr>
        <w:t>参加由重要国际科技组织发起或主办的国际会议以及由国内外高校、全国学会、企业等在优势学科、优势技术领域举办的短期培训班等类似活动的差旅费等开支。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560" w:lineRule="exact"/>
        <w:ind w:left="0" w:firstLine="6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vertAlign w:val="baseline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vertAlign w:val="baseline"/>
          <w:lang w:eastAsia="zh-CN"/>
        </w:rPr>
        <w:t>（七）其他用于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vertAlign w:val="baseline"/>
          <w:lang w:eastAsia="zh-CN"/>
        </w:rPr>
        <w:t>被托举人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vertAlign w:val="baseline"/>
          <w:lang w:eastAsia="zh-CN"/>
        </w:rPr>
        <w:t>学术水平和能力提升的费用。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第二十一条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资助资金不得用于以下开支：</w:t>
      </w:r>
    </w:p>
    <w:p>
      <w:pPr>
        <w:pStyle w:val="2"/>
        <w:widowControl/>
        <w:numPr>
          <w:ilvl w:val="0"/>
          <w:numId w:val="1"/>
        </w:numPr>
        <w:spacing w:before="0" w:beforeAutospacing="0" w:after="0" w:afterAutospacing="0" w:line="560" w:lineRule="exact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对外投资。</w:t>
      </w:r>
    </w:p>
    <w:p>
      <w:pPr>
        <w:pStyle w:val="2"/>
        <w:widowControl/>
        <w:numPr>
          <w:ilvl w:val="0"/>
          <w:numId w:val="1"/>
        </w:numPr>
        <w:spacing w:before="0" w:beforeAutospacing="0" w:after="0" w:afterAutospacing="0" w:line="560" w:lineRule="exact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罚款、还贷。</w:t>
      </w:r>
    </w:p>
    <w:p>
      <w:pPr>
        <w:pStyle w:val="2"/>
        <w:widowControl/>
        <w:numPr>
          <w:ilvl w:val="0"/>
          <w:numId w:val="1"/>
        </w:numPr>
        <w:spacing w:before="0" w:beforeAutospacing="0" w:after="0" w:afterAutospacing="0" w:line="560" w:lineRule="exact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捐款、赞助。</w:t>
      </w:r>
    </w:p>
    <w:p>
      <w:pPr>
        <w:pStyle w:val="2"/>
        <w:widowControl/>
        <w:numPr>
          <w:ilvl w:val="0"/>
          <w:numId w:val="1"/>
        </w:numPr>
        <w:spacing w:before="0" w:beforeAutospacing="0" w:after="0" w:afterAutospacing="0" w:line="560" w:lineRule="exact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人员工资、福利支出。</w:t>
      </w:r>
    </w:p>
    <w:p>
      <w:pPr>
        <w:pStyle w:val="2"/>
        <w:widowControl/>
        <w:numPr>
          <w:ilvl w:val="0"/>
          <w:numId w:val="1"/>
        </w:numPr>
        <w:spacing w:before="0" w:beforeAutospacing="0" w:after="0" w:afterAutospacing="0" w:line="560" w:lineRule="exact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与托举工程项目无关的其他支出。</w:t>
      </w:r>
    </w:p>
    <w:p>
      <w:pPr>
        <w:pStyle w:val="2"/>
        <w:widowControl/>
        <w:numPr>
          <w:ilvl w:val="0"/>
          <w:numId w:val="1"/>
        </w:numPr>
        <w:spacing w:before="0" w:beforeAutospacing="0" w:after="0" w:afterAutospacing="0" w:line="560" w:lineRule="exact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其他违反财经纪律的用途。</w:t>
      </w:r>
    </w:p>
    <w:p>
      <w:pPr>
        <w:pStyle w:val="2"/>
        <w:widowControl/>
        <w:numPr>
          <w:ilvl w:val="0"/>
          <w:numId w:val="2"/>
        </w:numPr>
        <w:spacing w:before="0" w:beforeAutospacing="0" w:after="0" w:afterAutospacing="0" w:line="560" w:lineRule="exact"/>
        <w:ind w:left="0" w:right="0" w:firstLine="0"/>
        <w:jc w:val="center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sz w:val="32"/>
          <w:szCs w:val="32"/>
          <w:lang w:val="en-US"/>
        </w:rPr>
        <w:t xml:space="preserve"> </w:t>
      </w:r>
      <w:r>
        <w:rPr>
          <w:rFonts w:hint="eastAsia" w:ascii="黑体" w:hAnsi="宋体" w:eastAsia="黑体" w:cs="黑体"/>
          <w:sz w:val="32"/>
          <w:szCs w:val="32"/>
          <w:lang w:eastAsia="zh-CN"/>
        </w:rPr>
        <w:t>附则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 xml:space="preserve">第二十二条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本办法由省科协负责解释。</w:t>
      </w:r>
    </w:p>
    <w:p>
      <w:pPr>
        <w:pStyle w:val="2"/>
        <w:widowControl/>
        <w:spacing w:after="0" w:afterAutospacing="0" w:line="560" w:lineRule="exact"/>
        <w:ind w:left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第二十三条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本办法自印发之日起施行。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pStyle w:val="2"/>
        <w:widowControl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pStyle w:val="2"/>
        <w:widowControl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pStyle w:val="2"/>
        <w:widowControl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pStyle w:val="2"/>
        <w:widowControl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pStyle w:val="2"/>
        <w:widowControl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CESI黑体-GB13000">
    <w:altName w:val="微软雅黑"/>
    <w:panose1 w:val="00000000000000000000"/>
    <w:charset w:val="86"/>
    <w:family w:val="auto"/>
    <w:pitch w:val="default"/>
    <w:sig w:usb0="00000000" w:usb1="38CF7CF8" w:usb2="00000016" w:usb3="00000000" w:csb0="0004000F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8000000" w:usb2="00000000" w:usb3="00000000" w:csb0="00040000" w:csb1="00000000"/>
  </w:font>
  <w:font w:name="CESI仿宋-GB2312">
    <w:altName w:val="微软雅黑"/>
    <w:panose1 w:val="00000000000000000000"/>
    <w:charset w:val="86"/>
    <w:family w:val="auto"/>
    <w:pitch w:val="default"/>
    <w:sig w:usb0="00000000" w:usb1="084F6CF8" w:usb2="00000010" w:usb3="00000000" w:csb0="0004000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@CESI黑体-GB13000">
    <w:altName w:val="黑体"/>
    <w:panose1 w:val="00000000000000000000"/>
    <w:charset w:val="86"/>
    <w:family w:val="auto"/>
    <w:pitch w:val="default"/>
    <w:sig w:usb0="00000000" w:usb1="38CF7CF8" w:usb2="00000016" w:usb3="00000000" w:csb0="0004000F" w:csb1="00000000"/>
  </w:font>
  <w:font w:name="@方正仿宋_GBK">
    <w:altName w:val="仿宋"/>
    <w:panose1 w:val="00000000000000000000"/>
    <w:charset w:val="86"/>
    <w:family w:val="auto"/>
    <w:pitch w:val="default"/>
    <w:sig w:usb0="00000000" w:usb1="08000000" w:usb2="00000000" w:usb3="00000000" w:csb0="00040000" w:csb1="00000000"/>
  </w:font>
  <w:font w:name="@CESI仿宋-GB2312">
    <w:altName w:val="仿宋"/>
    <w:panose1 w:val="00000000000000000000"/>
    <w:charset w:val="86"/>
    <w:family w:val="auto"/>
    <w:pitch w:val="default"/>
    <w:sig w:usb0="00000000" w:usb1="084F6CF8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9D90"/>
    <w:multiLevelType w:val="multilevel"/>
    <w:tmpl w:val="C1E69D90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1E904E3D"/>
    <w:multiLevelType w:val="multilevel"/>
    <w:tmpl w:val="1E904E3D"/>
    <w:lvl w:ilvl="0" w:tentative="0">
      <w:start w:val="6"/>
      <w:numFmt w:val="chineseCounting"/>
      <w:suff w:val="space"/>
      <w:lvlText w:val="第%1章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ZTZjNTk4ZDhjYjU0OWYyZGNhMjRhMWM1YTM3OWMifQ=="/>
  </w:docVars>
  <w:rsids>
    <w:rsidRoot w:val="00000000"/>
    <w:rsid w:val="2662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  <w:style w:type="paragraph" w:styleId="3">
    <w:name w:val="Normal (Web)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6">
    <w:name w:val="正文文本 Char"/>
    <w:basedOn w:val="5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2023-09-28T02:32:30Z</dcterms:created>
  <dc:creator>Administrator</dc:creator>
  <cp:lastModifiedBy>Yuchao Liu</cp:lastModifiedBy>
  <dcterms:modified xsi:type="dcterms:W3CDTF">2023-09-28T02:33:08Z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4DA276A8CD974DEEA712974839306366_12</vt:lpwstr>
  </property>
</Properties>
</file>