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72F6A">
      <w:pPr>
        <w:ind w:firstLine="643" w:firstLineChars="200"/>
        <w:jc w:val="center"/>
        <w:rPr>
          <w:rFonts w:hint="eastAsia" w:ascii="宋体" w:hAnsi="宋体" w:eastAsia="宋体" w:cs="宋体"/>
          <w:sz w:val="32"/>
          <w:szCs w:val="32"/>
        </w:rPr>
      </w:pPr>
      <w:r>
        <w:rPr>
          <w:rFonts w:hint="eastAsia" w:ascii="宋体" w:hAnsi="宋体" w:eastAsia="宋体" w:cs="宋体"/>
          <w:b/>
          <w:bCs/>
          <w:sz w:val="32"/>
          <w:szCs w:val="32"/>
        </w:rPr>
        <w:t>20</w:t>
      </w:r>
      <w:r>
        <w:rPr>
          <w:rFonts w:hint="eastAsia" w:ascii="宋体" w:hAnsi="宋体" w:eastAsia="宋体" w:cs="宋体"/>
          <w:b/>
          <w:bCs/>
          <w:sz w:val="32"/>
          <w:szCs w:val="32"/>
          <w:lang w:val="en-US" w:eastAsia="zh-CN"/>
        </w:rPr>
        <w:t>2</w:t>
      </w:r>
      <w:r>
        <w:rPr>
          <w:rFonts w:hint="eastAsia" w:ascii="宋体" w:hAnsi="宋体" w:cs="宋体"/>
          <w:b/>
          <w:bCs/>
          <w:sz w:val="32"/>
          <w:szCs w:val="32"/>
          <w:lang w:val="en-US" w:eastAsia="zh-CN"/>
        </w:rPr>
        <w:t>6</w:t>
      </w:r>
      <w:r>
        <w:rPr>
          <w:rFonts w:hint="eastAsia" w:ascii="宋体" w:hAnsi="宋体" w:eastAsia="宋体" w:cs="宋体"/>
          <w:b/>
          <w:bCs/>
          <w:sz w:val="32"/>
          <w:szCs w:val="32"/>
        </w:rPr>
        <w:t>年度齐齐哈尔医学院医疗</w:t>
      </w:r>
      <w:r>
        <w:rPr>
          <w:rFonts w:hint="eastAsia" w:ascii="宋体" w:hAnsi="宋体" w:eastAsia="宋体" w:cs="宋体"/>
          <w:b/>
          <w:bCs/>
          <w:sz w:val="32"/>
          <w:szCs w:val="32"/>
          <w:lang w:eastAsia="zh-CN"/>
        </w:rPr>
        <w:t>卫生</w:t>
      </w:r>
      <w:r>
        <w:rPr>
          <w:rFonts w:hint="eastAsia" w:ascii="宋体" w:hAnsi="宋体" w:eastAsia="宋体" w:cs="宋体"/>
          <w:b/>
          <w:bCs/>
          <w:sz w:val="32"/>
          <w:szCs w:val="32"/>
        </w:rPr>
        <w:t>新技术</w:t>
      </w:r>
      <w:r>
        <w:rPr>
          <w:rFonts w:hint="eastAsia" w:ascii="宋体" w:hAnsi="宋体" w:eastAsia="宋体" w:cs="宋体"/>
          <w:b/>
          <w:bCs/>
          <w:sz w:val="32"/>
          <w:szCs w:val="32"/>
          <w:lang w:eastAsia="zh-CN"/>
        </w:rPr>
        <w:t>推广项目</w:t>
      </w:r>
      <w:r>
        <w:rPr>
          <w:rFonts w:hint="eastAsia" w:ascii="宋体" w:hAnsi="宋体" w:eastAsia="宋体" w:cs="宋体"/>
          <w:b/>
          <w:bCs/>
          <w:sz w:val="32"/>
          <w:szCs w:val="32"/>
        </w:rPr>
        <w:t>公示名单</w:t>
      </w:r>
    </w:p>
    <w:tbl>
      <w:tblPr>
        <w:tblStyle w:val="2"/>
        <w:tblW w:w="14994" w:type="dxa"/>
        <w:jc w:val="center"/>
        <w:tblLayout w:type="fixed"/>
        <w:tblCellMar>
          <w:top w:w="0" w:type="dxa"/>
          <w:left w:w="108" w:type="dxa"/>
          <w:bottom w:w="0" w:type="dxa"/>
          <w:right w:w="108" w:type="dxa"/>
        </w:tblCellMar>
      </w:tblPr>
      <w:tblGrid>
        <w:gridCol w:w="1026"/>
        <w:gridCol w:w="6899"/>
        <w:gridCol w:w="1695"/>
        <w:gridCol w:w="5374"/>
      </w:tblGrid>
      <w:tr w14:paraId="53339581">
        <w:tblPrEx>
          <w:tblCellMar>
            <w:top w:w="0" w:type="dxa"/>
            <w:left w:w="108" w:type="dxa"/>
            <w:bottom w:w="0" w:type="dxa"/>
            <w:right w:w="108" w:type="dxa"/>
          </w:tblCellMar>
        </w:tblPrEx>
        <w:trPr>
          <w:trHeight w:val="597" w:hRule="atLeast"/>
          <w:jc w:val="center"/>
        </w:trPr>
        <w:tc>
          <w:tcPr>
            <w:tcW w:w="1026" w:type="dxa"/>
            <w:tcBorders>
              <w:top w:val="single" w:color="auto" w:sz="4" w:space="0"/>
              <w:left w:val="single" w:color="auto" w:sz="4" w:space="0"/>
              <w:bottom w:val="single" w:color="auto" w:sz="4" w:space="0"/>
              <w:right w:val="single" w:color="auto" w:sz="4" w:space="0"/>
            </w:tcBorders>
            <w:noWrap/>
            <w:vAlign w:val="center"/>
          </w:tcPr>
          <w:p w14:paraId="7B0A557F">
            <w:pPr>
              <w:widowControl/>
              <w:jc w:val="center"/>
              <w:rPr>
                <w:rFonts w:hint="eastAsia" w:ascii="宋体" w:hAnsi="宋体" w:eastAsia="宋体" w:cs="宋体"/>
                <w:b/>
                <w:color w:val="000000"/>
                <w:kern w:val="0"/>
                <w:sz w:val="24"/>
                <w:lang w:val="en-US" w:eastAsia="zh-CN"/>
              </w:rPr>
            </w:pPr>
            <w:r>
              <w:rPr>
                <w:rFonts w:hint="eastAsia" w:ascii="宋体" w:hAnsi="宋体" w:cs="宋体"/>
                <w:b/>
                <w:color w:val="000000"/>
                <w:kern w:val="0"/>
                <w:sz w:val="24"/>
                <w:lang w:val="en-US" w:eastAsia="zh-CN"/>
              </w:rPr>
              <w:t>推广 类别</w:t>
            </w:r>
          </w:p>
        </w:tc>
        <w:tc>
          <w:tcPr>
            <w:tcW w:w="6899" w:type="dxa"/>
            <w:tcBorders>
              <w:top w:val="single" w:color="auto" w:sz="4" w:space="0"/>
              <w:left w:val="nil"/>
              <w:bottom w:val="single" w:color="auto" w:sz="4" w:space="0"/>
              <w:right w:val="single" w:color="auto" w:sz="4" w:space="0"/>
            </w:tcBorders>
            <w:noWrap/>
            <w:vAlign w:val="center"/>
          </w:tcPr>
          <w:p w14:paraId="464A7837">
            <w:pPr>
              <w:widowControl/>
              <w:jc w:val="center"/>
              <w:rPr>
                <w:rFonts w:ascii="宋体" w:hAnsi="宋体" w:eastAsia="宋体" w:cs="宋体"/>
                <w:b/>
                <w:color w:val="000000"/>
                <w:kern w:val="0"/>
                <w:sz w:val="24"/>
              </w:rPr>
            </w:pPr>
            <w:r>
              <w:rPr>
                <w:rFonts w:hint="eastAsia" w:ascii="宋体" w:hAnsi="宋体" w:eastAsia="宋体" w:cs="宋体"/>
                <w:b/>
                <w:color w:val="000000"/>
                <w:kern w:val="0"/>
                <w:sz w:val="24"/>
              </w:rPr>
              <w:t>项目名称</w:t>
            </w:r>
          </w:p>
        </w:tc>
        <w:tc>
          <w:tcPr>
            <w:tcW w:w="1695" w:type="dxa"/>
            <w:tcBorders>
              <w:top w:val="single" w:color="auto" w:sz="4" w:space="0"/>
              <w:left w:val="nil"/>
              <w:bottom w:val="single" w:color="auto" w:sz="4" w:space="0"/>
              <w:right w:val="single" w:color="auto" w:sz="4" w:space="0"/>
            </w:tcBorders>
            <w:noWrap/>
            <w:vAlign w:val="center"/>
          </w:tcPr>
          <w:p w14:paraId="3AC1B20E">
            <w:pPr>
              <w:widowControl/>
              <w:jc w:val="center"/>
              <w:rPr>
                <w:rFonts w:ascii="宋体" w:hAnsi="宋体" w:eastAsia="宋体" w:cs="宋体"/>
                <w:b/>
                <w:color w:val="000000"/>
                <w:kern w:val="0"/>
                <w:sz w:val="24"/>
              </w:rPr>
            </w:pPr>
            <w:r>
              <w:rPr>
                <w:rFonts w:hint="eastAsia" w:ascii="宋体" w:hAnsi="宋体" w:eastAsia="宋体" w:cs="宋体"/>
                <w:b/>
                <w:color w:val="000000"/>
                <w:kern w:val="0"/>
                <w:sz w:val="24"/>
              </w:rPr>
              <w:t>推荐单位</w:t>
            </w:r>
          </w:p>
        </w:tc>
        <w:tc>
          <w:tcPr>
            <w:tcW w:w="5374" w:type="dxa"/>
            <w:tcBorders>
              <w:top w:val="single" w:color="auto" w:sz="4" w:space="0"/>
              <w:left w:val="nil"/>
              <w:bottom w:val="single" w:color="auto" w:sz="4" w:space="0"/>
              <w:right w:val="single" w:color="auto" w:sz="4" w:space="0"/>
            </w:tcBorders>
            <w:noWrap w:val="0"/>
            <w:vAlign w:val="center"/>
          </w:tcPr>
          <w:p w14:paraId="3255E824">
            <w:pPr>
              <w:widowControl/>
              <w:jc w:val="center"/>
              <w:rPr>
                <w:rFonts w:ascii="宋体" w:hAnsi="宋体" w:eastAsia="宋体" w:cs="宋体"/>
                <w:b/>
                <w:color w:val="000000"/>
                <w:kern w:val="0"/>
                <w:sz w:val="24"/>
              </w:rPr>
            </w:pPr>
            <w:r>
              <w:rPr>
                <w:rFonts w:hint="eastAsia" w:ascii="宋体" w:hAnsi="宋体" w:eastAsia="宋体" w:cs="宋体"/>
                <w:b/>
                <w:color w:val="000000"/>
                <w:kern w:val="0"/>
                <w:sz w:val="24"/>
              </w:rPr>
              <w:t>项目完成人</w:t>
            </w:r>
          </w:p>
        </w:tc>
      </w:tr>
      <w:tr w14:paraId="0B6F97DA">
        <w:tblPrEx>
          <w:tblCellMar>
            <w:top w:w="0" w:type="dxa"/>
            <w:left w:w="108" w:type="dxa"/>
            <w:bottom w:w="0" w:type="dxa"/>
            <w:right w:w="108" w:type="dxa"/>
          </w:tblCellMar>
        </w:tblPrEx>
        <w:trPr>
          <w:trHeight w:val="680" w:hRule="exact"/>
          <w:jc w:val="center"/>
        </w:trPr>
        <w:tc>
          <w:tcPr>
            <w:tcW w:w="1026" w:type="dxa"/>
            <w:vMerge w:val="restart"/>
            <w:tcBorders>
              <w:top w:val="nil"/>
              <w:left w:val="single" w:color="auto" w:sz="4" w:space="0"/>
              <w:right w:val="single" w:color="auto" w:sz="4" w:space="0"/>
            </w:tcBorders>
            <w:noWrap/>
            <w:vAlign w:val="center"/>
          </w:tcPr>
          <w:p w14:paraId="0EBD1E7A">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I类        推广</w:t>
            </w:r>
          </w:p>
        </w:tc>
        <w:tc>
          <w:tcPr>
            <w:tcW w:w="6899" w:type="dxa"/>
            <w:tcBorders>
              <w:top w:val="nil"/>
              <w:left w:val="nil"/>
              <w:bottom w:val="single" w:color="auto" w:sz="4" w:space="0"/>
              <w:right w:val="single" w:color="auto" w:sz="4" w:space="0"/>
            </w:tcBorders>
            <w:noWrap w:val="0"/>
            <w:vAlign w:val="center"/>
          </w:tcPr>
          <w:p w14:paraId="6D2B9E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全“橙”助老·医路有我——老年患者全流程健康管理模式的创新应用</w:t>
            </w:r>
          </w:p>
        </w:tc>
        <w:tc>
          <w:tcPr>
            <w:tcW w:w="1695" w:type="dxa"/>
            <w:tcBorders>
              <w:top w:val="nil"/>
              <w:left w:val="nil"/>
              <w:bottom w:val="single" w:color="auto" w:sz="4" w:space="0"/>
              <w:right w:val="single" w:color="auto" w:sz="4" w:space="0"/>
            </w:tcBorders>
            <w:noWrap w:val="0"/>
            <w:vAlign w:val="center"/>
          </w:tcPr>
          <w:p w14:paraId="3F1188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附属第一医院</w:t>
            </w:r>
          </w:p>
        </w:tc>
        <w:tc>
          <w:tcPr>
            <w:tcW w:w="5374" w:type="dxa"/>
            <w:tcBorders>
              <w:top w:val="nil"/>
              <w:left w:val="nil"/>
              <w:bottom w:val="single" w:color="auto" w:sz="4" w:space="0"/>
              <w:right w:val="single" w:color="auto" w:sz="4" w:space="0"/>
            </w:tcBorders>
            <w:noWrap w:val="0"/>
            <w:vAlign w:val="center"/>
          </w:tcPr>
          <w:p w14:paraId="67B106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1.宿冰；2.范桂红；3.刘丽娟；4.张羽镝；5.李富彬</w:t>
            </w:r>
          </w:p>
        </w:tc>
      </w:tr>
      <w:tr w14:paraId="60E61A34">
        <w:tblPrEx>
          <w:tblCellMar>
            <w:top w:w="0" w:type="dxa"/>
            <w:left w:w="108" w:type="dxa"/>
            <w:bottom w:w="0" w:type="dxa"/>
            <w:right w:w="108" w:type="dxa"/>
          </w:tblCellMar>
        </w:tblPrEx>
        <w:trPr>
          <w:trHeight w:val="680" w:hRule="exact"/>
          <w:jc w:val="center"/>
        </w:trPr>
        <w:tc>
          <w:tcPr>
            <w:tcW w:w="1026" w:type="dxa"/>
            <w:vMerge w:val="continue"/>
            <w:tcBorders>
              <w:top w:val="nil"/>
              <w:left w:val="single" w:color="auto" w:sz="4" w:space="0"/>
              <w:right w:val="single" w:color="auto" w:sz="4" w:space="0"/>
            </w:tcBorders>
            <w:noWrap/>
            <w:vAlign w:val="center"/>
          </w:tcPr>
          <w:p w14:paraId="2916B14C">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899" w:type="dxa"/>
            <w:tcBorders>
              <w:top w:val="nil"/>
              <w:left w:val="nil"/>
              <w:bottom w:val="single" w:color="auto" w:sz="4" w:space="0"/>
              <w:right w:val="single" w:color="auto" w:sz="4" w:space="0"/>
            </w:tcBorders>
            <w:noWrap w:val="0"/>
            <w:vAlign w:val="center"/>
          </w:tcPr>
          <w:p w14:paraId="096471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IVUS指导下冠脉旋磨术联合切割球囊在冠状动脉重度钙化病变患者中的应用</w:t>
            </w:r>
          </w:p>
        </w:tc>
        <w:tc>
          <w:tcPr>
            <w:tcW w:w="1695" w:type="dxa"/>
            <w:tcBorders>
              <w:top w:val="nil"/>
              <w:left w:val="nil"/>
              <w:bottom w:val="single" w:color="auto" w:sz="4" w:space="0"/>
              <w:right w:val="single" w:color="auto" w:sz="4" w:space="0"/>
            </w:tcBorders>
            <w:noWrap w:val="0"/>
            <w:vAlign w:val="center"/>
          </w:tcPr>
          <w:p w14:paraId="56AF57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附属第二医院</w:t>
            </w:r>
          </w:p>
        </w:tc>
        <w:tc>
          <w:tcPr>
            <w:tcW w:w="5374" w:type="dxa"/>
            <w:tcBorders>
              <w:top w:val="nil"/>
              <w:left w:val="nil"/>
              <w:bottom w:val="single" w:color="auto" w:sz="4" w:space="0"/>
              <w:right w:val="single" w:color="auto" w:sz="4" w:space="0"/>
            </w:tcBorders>
            <w:noWrap w:val="0"/>
            <w:vAlign w:val="center"/>
          </w:tcPr>
          <w:p w14:paraId="33D488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1.戚增明；2.吴淼；3.姜思奇；4.杨航；5.李文慧</w:t>
            </w:r>
          </w:p>
        </w:tc>
      </w:tr>
      <w:tr w14:paraId="396578C1">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bottom w:val="single" w:color="auto" w:sz="4" w:space="0"/>
              <w:right w:val="single" w:color="auto" w:sz="4" w:space="0"/>
            </w:tcBorders>
            <w:noWrap/>
            <w:vAlign w:val="center"/>
          </w:tcPr>
          <w:p w14:paraId="6FBC65D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899" w:type="dxa"/>
            <w:tcBorders>
              <w:top w:val="nil"/>
              <w:left w:val="nil"/>
              <w:bottom w:val="single" w:color="auto" w:sz="4" w:space="0"/>
              <w:right w:val="single" w:color="auto" w:sz="4" w:space="0"/>
            </w:tcBorders>
            <w:noWrap w:val="0"/>
            <w:vAlign w:val="center"/>
          </w:tcPr>
          <w:p w14:paraId="285FC9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玻璃体切割手术在玻璃体疾病及视网膜疾病中的应用</w:t>
            </w:r>
          </w:p>
        </w:tc>
        <w:tc>
          <w:tcPr>
            <w:tcW w:w="1695" w:type="dxa"/>
            <w:tcBorders>
              <w:top w:val="nil"/>
              <w:left w:val="nil"/>
              <w:bottom w:val="single" w:color="auto" w:sz="4" w:space="0"/>
              <w:right w:val="single" w:color="auto" w:sz="4" w:space="0"/>
            </w:tcBorders>
            <w:noWrap w:val="0"/>
            <w:vAlign w:val="center"/>
          </w:tcPr>
          <w:p w14:paraId="5C7108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附属第二医院</w:t>
            </w:r>
          </w:p>
        </w:tc>
        <w:tc>
          <w:tcPr>
            <w:tcW w:w="5374" w:type="dxa"/>
            <w:tcBorders>
              <w:top w:val="nil"/>
              <w:left w:val="nil"/>
              <w:bottom w:val="single" w:color="auto" w:sz="4" w:space="0"/>
              <w:right w:val="single" w:color="auto" w:sz="4" w:space="0"/>
            </w:tcBorders>
            <w:noWrap w:val="0"/>
            <w:vAlign w:val="center"/>
          </w:tcPr>
          <w:p w14:paraId="1E561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1.宫学武；2.董铎；3.郭亮；4.盛莉杰；5.朱明</w:t>
            </w:r>
          </w:p>
        </w:tc>
      </w:tr>
      <w:tr w14:paraId="3C0EBEFA">
        <w:tblPrEx>
          <w:tblCellMar>
            <w:top w:w="0" w:type="dxa"/>
            <w:left w:w="108" w:type="dxa"/>
            <w:bottom w:w="0" w:type="dxa"/>
            <w:right w:w="108" w:type="dxa"/>
          </w:tblCellMar>
        </w:tblPrEx>
        <w:trPr>
          <w:trHeight w:val="680" w:hRule="exact"/>
          <w:jc w:val="center"/>
        </w:trPr>
        <w:tc>
          <w:tcPr>
            <w:tcW w:w="1026" w:type="dxa"/>
            <w:vMerge w:val="restart"/>
            <w:tcBorders>
              <w:top w:val="nil"/>
              <w:left w:val="single" w:color="auto" w:sz="4" w:space="0"/>
              <w:right w:val="single" w:color="auto" w:sz="4" w:space="0"/>
            </w:tcBorders>
            <w:noWrap/>
            <w:vAlign w:val="center"/>
          </w:tcPr>
          <w:p w14:paraId="70432EB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II类     推广</w:t>
            </w:r>
          </w:p>
        </w:tc>
        <w:tc>
          <w:tcPr>
            <w:tcW w:w="6899" w:type="dxa"/>
            <w:tcBorders>
              <w:top w:val="nil"/>
              <w:left w:val="nil"/>
              <w:bottom w:val="single" w:color="auto" w:sz="4" w:space="0"/>
              <w:right w:val="single" w:color="auto" w:sz="4" w:space="0"/>
            </w:tcBorders>
            <w:noWrap w:val="0"/>
            <w:vAlign w:val="center"/>
          </w:tcPr>
          <w:p w14:paraId="14FEE1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改良抗酸染色联合肺泡灌洗液GeenX-pertMTB/RIF检测技术在肺结核诊断中的应用</w:t>
            </w:r>
          </w:p>
        </w:tc>
        <w:tc>
          <w:tcPr>
            <w:tcW w:w="1695" w:type="dxa"/>
            <w:tcBorders>
              <w:top w:val="nil"/>
              <w:left w:val="nil"/>
              <w:bottom w:val="single" w:color="auto" w:sz="4" w:space="0"/>
              <w:right w:val="single" w:color="auto" w:sz="4" w:space="0"/>
            </w:tcBorders>
            <w:noWrap w:val="0"/>
            <w:vAlign w:val="center"/>
          </w:tcPr>
          <w:p w14:paraId="5DB5E9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附属第三</w:t>
            </w:r>
            <w:r>
              <w:rPr>
                <w:rFonts w:hint="eastAsia" w:ascii="宋体" w:hAnsi="宋体" w:cs="宋体"/>
                <w:i w:val="0"/>
                <w:iCs w:val="0"/>
                <w:color w:val="000000"/>
                <w:kern w:val="0"/>
                <w:sz w:val="20"/>
                <w:szCs w:val="20"/>
                <w:u w:val="none"/>
                <w:lang w:val="en-US" w:eastAsia="zh-CN" w:bidi="ar"/>
              </w:rPr>
              <w:t>医</w:t>
            </w:r>
            <w:r>
              <w:rPr>
                <w:rFonts w:hint="eastAsia" w:ascii="宋体" w:hAnsi="宋体" w:eastAsia="宋体" w:cs="宋体"/>
                <w:i w:val="0"/>
                <w:iCs w:val="0"/>
                <w:color w:val="000000"/>
                <w:kern w:val="0"/>
                <w:sz w:val="20"/>
                <w:szCs w:val="20"/>
                <w:u w:val="none"/>
                <w:lang w:val="en-US" w:eastAsia="zh-CN" w:bidi="ar"/>
              </w:rPr>
              <w:t>院</w:t>
            </w:r>
          </w:p>
        </w:tc>
        <w:tc>
          <w:tcPr>
            <w:tcW w:w="5374" w:type="dxa"/>
            <w:tcBorders>
              <w:top w:val="nil"/>
              <w:left w:val="nil"/>
              <w:bottom w:val="single" w:color="auto" w:sz="4" w:space="0"/>
              <w:right w:val="single" w:color="auto" w:sz="4" w:space="0"/>
            </w:tcBorders>
            <w:noWrap w:val="0"/>
            <w:vAlign w:val="center"/>
          </w:tcPr>
          <w:p w14:paraId="194B7F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1.孟令玉；2.刘琪琪；3.李亚东；4.刘沫然；5.程丽华</w:t>
            </w:r>
          </w:p>
        </w:tc>
      </w:tr>
      <w:tr w14:paraId="728387AF">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5EF2F62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899" w:type="dxa"/>
            <w:tcBorders>
              <w:top w:val="nil"/>
              <w:left w:val="nil"/>
              <w:bottom w:val="single" w:color="auto" w:sz="4" w:space="0"/>
              <w:right w:val="single" w:color="auto" w:sz="4" w:space="0"/>
            </w:tcBorders>
            <w:noWrap w:val="0"/>
            <w:vAlign w:val="center"/>
          </w:tcPr>
          <w:p w14:paraId="5955AB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掺铥激光联合前端可弯负压吸引输尿管软镜鞘在上尿路结石无石化的应用</w:t>
            </w:r>
          </w:p>
        </w:tc>
        <w:tc>
          <w:tcPr>
            <w:tcW w:w="1695" w:type="dxa"/>
            <w:tcBorders>
              <w:top w:val="nil"/>
              <w:left w:val="nil"/>
              <w:bottom w:val="single" w:color="auto" w:sz="4" w:space="0"/>
              <w:right w:val="single" w:color="auto" w:sz="4" w:space="0"/>
            </w:tcBorders>
            <w:noWrap w:val="0"/>
            <w:vAlign w:val="center"/>
          </w:tcPr>
          <w:p w14:paraId="7F81D5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附属第二医院</w:t>
            </w:r>
          </w:p>
        </w:tc>
        <w:tc>
          <w:tcPr>
            <w:tcW w:w="5374" w:type="dxa"/>
            <w:tcBorders>
              <w:top w:val="nil"/>
              <w:left w:val="nil"/>
              <w:bottom w:val="single" w:color="auto" w:sz="4" w:space="0"/>
              <w:right w:val="single" w:color="auto" w:sz="4" w:space="0"/>
            </w:tcBorders>
            <w:noWrap w:val="0"/>
            <w:vAlign w:val="center"/>
          </w:tcPr>
          <w:p w14:paraId="052FED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1.高航；2.王立鹤；3.武云成；4.王彦觉；5.黄键</w:t>
            </w:r>
          </w:p>
        </w:tc>
      </w:tr>
      <w:tr w14:paraId="14D124FF">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2341D0F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899" w:type="dxa"/>
            <w:tcBorders>
              <w:top w:val="nil"/>
              <w:left w:val="nil"/>
              <w:bottom w:val="single" w:color="auto" w:sz="4" w:space="0"/>
              <w:right w:val="single" w:color="auto" w:sz="4" w:space="0"/>
            </w:tcBorders>
            <w:noWrap w:val="0"/>
            <w:vAlign w:val="center"/>
          </w:tcPr>
          <w:p w14:paraId="68544F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数字听诊与人工智能技术在呼吸病智慧医疗及远程医疗中的临床应用</w:t>
            </w:r>
          </w:p>
        </w:tc>
        <w:tc>
          <w:tcPr>
            <w:tcW w:w="1695" w:type="dxa"/>
            <w:tcBorders>
              <w:top w:val="nil"/>
              <w:left w:val="nil"/>
              <w:bottom w:val="single" w:color="auto" w:sz="4" w:space="0"/>
              <w:right w:val="single" w:color="auto" w:sz="4" w:space="0"/>
            </w:tcBorders>
            <w:noWrap w:val="0"/>
            <w:vAlign w:val="center"/>
          </w:tcPr>
          <w:p w14:paraId="2770A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附属第三</w:t>
            </w:r>
            <w:r>
              <w:rPr>
                <w:rFonts w:hint="eastAsia" w:ascii="宋体" w:hAnsi="宋体" w:cs="宋体"/>
                <w:i w:val="0"/>
                <w:iCs w:val="0"/>
                <w:color w:val="000000"/>
                <w:kern w:val="0"/>
                <w:sz w:val="20"/>
                <w:szCs w:val="20"/>
                <w:u w:val="none"/>
                <w:lang w:val="en-US" w:eastAsia="zh-CN" w:bidi="ar"/>
              </w:rPr>
              <w:t>医</w:t>
            </w:r>
            <w:r>
              <w:rPr>
                <w:rFonts w:hint="eastAsia" w:ascii="宋体" w:hAnsi="宋体" w:eastAsia="宋体" w:cs="宋体"/>
                <w:i w:val="0"/>
                <w:iCs w:val="0"/>
                <w:color w:val="000000"/>
                <w:kern w:val="0"/>
                <w:sz w:val="20"/>
                <w:szCs w:val="20"/>
                <w:u w:val="none"/>
                <w:lang w:val="en-US" w:eastAsia="zh-CN" w:bidi="ar"/>
              </w:rPr>
              <w:t>院</w:t>
            </w:r>
          </w:p>
        </w:tc>
        <w:tc>
          <w:tcPr>
            <w:tcW w:w="5374" w:type="dxa"/>
            <w:tcBorders>
              <w:top w:val="nil"/>
              <w:left w:val="nil"/>
              <w:bottom w:val="single" w:color="auto" w:sz="4" w:space="0"/>
              <w:right w:val="single" w:color="auto" w:sz="4" w:space="0"/>
            </w:tcBorders>
            <w:noWrap w:val="0"/>
            <w:vAlign w:val="center"/>
          </w:tcPr>
          <w:p w14:paraId="50453B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1.牟海军；2.吴雨轩（齐齐哈尔医学院）；3.冀方超；4.刘忠锦；5.沈莉</w:t>
            </w:r>
          </w:p>
        </w:tc>
      </w:tr>
      <w:tr w14:paraId="1A89294D">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74283039">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899" w:type="dxa"/>
            <w:tcBorders>
              <w:top w:val="nil"/>
              <w:left w:val="nil"/>
              <w:bottom w:val="single" w:color="auto" w:sz="4" w:space="0"/>
              <w:right w:val="single" w:color="auto" w:sz="4" w:space="0"/>
            </w:tcBorders>
            <w:noWrap w:val="0"/>
            <w:vAlign w:val="center"/>
          </w:tcPr>
          <w:p w14:paraId="78A78B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肺癌十基因联合PD-L1检测技术在中晚期非小细胞肺癌精准诊疗中的应用</w:t>
            </w:r>
          </w:p>
        </w:tc>
        <w:tc>
          <w:tcPr>
            <w:tcW w:w="1695" w:type="dxa"/>
            <w:tcBorders>
              <w:top w:val="nil"/>
              <w:left w:val="nil"/>
              <w:bottom w:val="single" w:color="auto" w:sz="4" w:space="0"/>
              <w:right w:val="single" w:color="auto" w:sz="4" w:space="0"/>
            </w:tcBorders>
            <w:noWrap w:val="0"/>
            <w:vAlign w:val="center"/>
          </w:tcPr>
          <w:p w14:paraId="277935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临床病理诊断中心</w:t>
            </w:r>
          </w:p>
        </w:tc>
        <w:tc>
          <w:tcPr>
            <w:tcW w:w="5374" w:type="dxa"/>
            <w:tcBorders>
              <w:top w:val="nil"/>
              <w:left w:val="nil"/>
              <w:bottom w:val="single" w:color="auto" w:sz="4" w:space="0"/>
              <w:right w:val="single" w:color="auto" w:sz="4" w:space="0"/>
            </w:tcBorders>
            <w:noWrap w:val="0"/>
            <w:vAlign w:val="center"/>
          </w:tcPr>
          <w:p w14:paraId="5DFFAB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1.窦薇；2.刘云龙；3.李宇；4.王俊苹；5.艾中伟</w:t>
            </w:r>
          </w:p>
        </w:tc>
      </w:tr>
      <w:tr w14:paraId="2B355D22">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7FD03470">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6899" w:type="dxa"/>
            <w:tcBorders>
              <w:top w:val="nil"/>
              <w:left w:val="nil"/>
              <w:bottom w:val="single" w:color="auto" w:sz="4" w:space="0"/>
              <w:right w:val="single" w:color="auto" w:sz="4" w:space="0"/>
            </w:tcBorders>
            <w:noWrap w:val="0"/>
            <w:vAlign w:val="center"/>
          </w:tcPr>
          <w:p w14:paraId="3FDC9D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基于aMAP评分的多模态超声新技术对微小肝癌诊断的临床应用</w:t>
            </w:r>
          </w:p>
        </w:tc>
        <w:tc>
          <w:tcPr>
            <w:tcW w:w="1695" w:type="dxa"/>
            <w:tcBorders>
              <w:top w:val="nil"/>
              <w:left w:val="nil"/>
              <w:bottom w:val="single" w:color="auto" w:sz="4" w:space="0"/>
              <w:right w:val="single" w:color="auto" w:sz="4" w:space="0"/>
            </w:tcBorders>
            <w:noWrap w:val="0"/>
            <w:vAlign w:val="center"/>
          </w:tcPr>
          <w:p w14:paraId="6ADD6C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附属第二医院</w:t>
            </w:r>
          </w:p>
        </w:tc>
        <w:tc>
          <w:tcPr>
            <w:tcW w:w="5374" w:type="dxa"/>
            <w:tcBorders>
              <w:top w:val="nil"/>
              <w:left w:val="nil"/>
              <w:bottom w:val="single" w:color="auto" w:sz="4" w:space="0"/>
              <w:right w:val="single" w:color="auto" w:sz="4" w:space="0"/>
            </w:tcBorders>
            <w:noWrap w:val="0"/>
            <w:vAlign w:val="center"/>
          </w:tcPr>
          <w:p w14:paraId="18AB57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1.王影；2.邓佳佳；3.李宜函；4.白连杰；5.周丹丹</w:t>
            </w:r>
          </w:p>
        </w:tc>
      </w:tr>
      <w:tr w14:paraId="51352A4B">
        <w:tblPrEx>
          <w:tblCellMar>
            <w:top w:w="0" w:type="dxa"/>
            <w:left w:w="108" w:type="dxa"/>
            <w:bottom w:w="0" w:type="dxa"/>
            <w:right w:w="108" w:type="dxa"/>
          </w:tblCellMar>
        </w:tblPrEx>
        <w:trPr>
          <w:trHeight w:val="680" w:hRule="exact"/>
          <w:jc w:val="center"/>
        </w:trPr>
        <w:tc>
          <w:tcPr>
            <w:tcW w:w="1026" w:type="dxa"/>
            <w:vMerge w:val="restart"/>
            <w:tcBorders>
              <w:top w:val="single" w:color="auto" w:sz="4" w:space="0"/>
              <w:left w:val="single" w:color="auto" w:sz="4" w:space="0"/>
              <w:right w:val="single" w:color="auto" w:sz="4" w:space="0"/>
            </w:tcBorders>
            <w:noWrap/>
            <w:vAlign w:val="center"/>
          </w:tcPr>
          <w:p w14:paraId="3C1FD476">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III类  推广</w:t>
            </w:r>
          </w:p>
        </w:tc>
        <w:tc>
          <w:tcPr>
            <w:tcW w:w="6899" w:type="dxa"/>
            <w:tcBorders>
              <w:top w:val="single" w:color="auto" w:sz="4" w:space="0"/>
              <w:left w:val="nil"/>
              <w:bottom w:val="single" w:color="auto" w:sz="4" w:space="0"/>
              <w:right w:val="single" w:color="auto" w:sz="4" w:space="0"/>
            </w:tcBorders>
            <w:noWrap w:val="0"/>
            <w:vAlign w:val="center"/>
          </w:tcPr>
          <w:p w14:paraId="3251A0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平卧位前侧入路髋关节置换术的临床应用</w:t>
            </w:r>
          </w:p>
        </w:tc>
        <w:tc>
          <w:tcPr>
            <w:tcW w:w="1695" w:type="dxa"/>
            <w:tcBorders>
              <w:top w:val="single" w:color="auto" w:sz="4" w:space="0"/>
              <w:left w:val="nil"/>
              <w:bottom w:val="single" w:color="auto" w:sz="4" w:space="0"/>
              <w:right w:val="single" w:color="auto" w:sz="4" w:space="0"/>
            </w:tcBorders>
            <w:noWrap w:val="0"/>
            <w:vAlign w:val="center"/>
          </w:tcPr>
          <w:p w14:paraId="05850D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附属第三</w:t>
            </w:r>
            <w:r>
              <w:rPr>
                <w:rFonts w:hint="eastAsia" w:ascii="宋体" w:hAnsi="宋体" w:cs="宋体"/>
                <w:i w:val="0"/>
                <w:iCs w:val="0"/>
                <w:color w:val="000000"/>
                <w:kern w:val="0"/>
                <w:sz w:val="20"/>
                <w:szCs w:val="20"/>
                <w:u w:val="none"/>
                <w:lang w:val="en-US" w:eastAsia="zh-CN" w:bidi="ar"/>
              </w:rPr>
              <w:t>医</w:t>
            </w:r>
            <w:r>
              <w:rPr>
                <w:rFonts w:hint="eastAsia" w:ascii="宋体" w:hAnsi="宋体" w:eastAsia="宋体" w:cs="宋体"/>
                <w:i w:val="0"/>
                <w:iCs w:val="0"/>
                <w:color w:val="000000"/>
                <w:kern w:val="0"/>
                <w:sz w:val="20"/>
                <w:szCs w:val="20"/>
                <w:u w:val="none"/>
                <w:lang w:val="en-US" w:eastAsia="zh-CN" w:bidi="ar"/>
              </w:rPr>
              <w:t>院</w:t>
            </w:r>
          </w:p>
        </w:tc>
        <w:tc>
          <w:tcPr>
            <w:tcW w:w="5374" w:type="dxa"/>
            <w:tcBorders>
              <w:top w:val="single" w:color="auto" w:sz="4" w:space="0"/>
              <w:left w:val="nil"/>
              <w:bottom w:val="single" w:color="auto" w:sz="4" w:space="0"/>
              <w:right w:val="single" w:color="auto" w:sz="4" w:space="0"/>
            </w:tcBorders>
            <w:noWrap w:val="0"/>
            <w:vAlign w:val="center"/>
          </w:tcPr>
          <w:p w14:paraId="221AEE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1.申福国；2.修姜；3.肖文龙；4.孙文才；5.康明明</w:t>
            </w:r>
          </w:p>
        </w:tc>
      </w:tr>
      <w:tr w14:paraId="67F1A352">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5CF02F80">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45A38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CT引导下经皮穿刺活检关键技术创新与应用</w:t>
            </w:r>
          </w:p>
        </w:tc>
        <w:tc>
          <w:tcPr>
            <w:tcW w:w="1695" w:type="dxa"/>
            <w:tcBorders>
              <w:top w:val="single" w:color="auto" w:sz="4" w:space="0"/>
              <w:left w:val="nil"/>
              <w:bottom w:val="single" w:color="auto" w:sz="4" w:space="0"/>
              <w:right w:val="single" w:color="auto" w:sz="4" w:space="0"/>
            </w:tcBorders>
            <w:noWrap w:val="0"/>
            <w:vAlign w:val="center"/>
          </w:tcPr>
          <w:p w14:paraId="5AB761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附属第二医院</w:t>
            </w:r>
          </w:p>
        </w:tc>
        <w:tc>
          <w:tcPr>
            <w:tcW w:w="5374" w:type="dxa"/>
            <w:tcBorders>
              <w:top w:val="single" w:color="auto" w:sz="4" w:space="0"/>
              <w:left w:val="nil"/>
              <w:bottom w:val="single" w:color="auto" w:sz="4" w:space="0"/>
              <w:right w:val="single" w:color="auto" w:sz="4" w:space="0"/>
            </w:tcBorders>
            <w:noWrap w:val="0"/>
            <w:vAlign w:val="center"/>
          </w:tcPr>
          <w:p w14:paraId="40DE0C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1.王东旭；2.姚籴霄；3.王毅；4.杨星昊；5.董蔓</w:t>
            </w:r>
          </w:p>
        </w:tc>
      </w:tr>
      <w:tr w14:paraId="707B3C2D">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23AAEC6B">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3616EC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旋转容积调强放射治疗在宫颈癌中的应用</w:t>
            </w:r>
          </w:p>
        </w:tc>
        <w:tc>
          <w:tcPr>
            <w:tcW w:w="1695" w:type="dxa"/>
            <w:tcBorders>
              <w:top w:val="single" w:color="auto" w:sz="4" w:space="0"/>
              <w:left w:val="nil"/>
              <w:bottom w:val="single" w:color="auto" w:sz="4" w:space="0"/>
              <w:right w:val="single" w:color="auto" w:sz="4" w:space="0"/>
            </w:tcBorders>
            <w:noWrap w:val="0"/>
            <w:vAlign w:val="center"/>
          </w:tcPr>
          <w:p w14:paraId="3B3D05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附属第三</w:t>
            </w:r>
            <w:r>
              <w:rPr>
                <w:rFonts w:hint="eastAsia" w:ascii="宋体" w:hAnsi="宋体" w:cs="宋体"/>
                <w:i w:val="0"/>
                <w:iCs w:val="0"/>
                <w:color w:val="000000"/>
                <w:kern w:val="0"/>
                <w:sz w:val="20"/>
                <w:szCs w:val="20"/>
                <w:u w:val="none"/>
                <w:lang w:val="en-US" w:eastAsia="zh-CN" w:bidi="ar"/>
              </w:rPr>
              <w:t>医</w:t>
            </w:r>
            <w:r>
              <w:rPr>
                <w:rFonts w:hint="eastAsia" w:ascii="宋体" w:hAnsi="宋体" w:eastAsia="宋体" w:cs="宋体"/>
                <w:i w:val="0"/>
                <w:iCs w:val="0"/>
                <w:color w:val="000000"/>
                <w:kern w:val="0"/>
                <w:sz w:val="20"/>
                <w:szCs w:val="20"/>
                <w:u w:val="none"/>
                <w:lang w:val="en-US" w:eastAsia="zh-CN" w:bidi="ar"/>
              </w:rPr>
              <w:t>院</w:t>
            </w:r>
          </w:p>
        </w:tc>
        <w:tc>
          <w:tcPr>
            <w:tcW w:w="5374" w:type="dxa"/>
            <w:tcBorders>
              <w:top w:val="single" w:color="auto" w:sz="4" w:space="0"/>
              <w:left w:val="nil"/>
              <w:bottom w:val="single" w:color="auto" w:sz="4" w:space="0"/>
              <w:right w:val="single" w:color="auto" w:sz="4" w:space="0"/>
            </w:tcBorders>
            <w:noWrap w:val="0"/>
            <w:vAlign w:val="center"/>
          </w:tcPr>
          <w:p w14:paraId="3041FB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1.张拓；2.刘晨；3.佟旭；4.罗福申；5.宋雪</w:t>
            </w:r>
          </w:p>
        </w:tc>
      </w:tr>
      <w:tr w14:paraId="5B441ADE">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65E57E56">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5D44D2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O-RADSMRI危险分层系统的临床应用</w:t>
            </w:r>
          </w:p>
        </w:tc>
        <w:tc>
          <w:tcPr>
            <w:tcW w:w="1695" w:type="dxa"/>
            <w:tcBorders>
              <w:top w:val="single" w:color="auto" w:sz="4" w:space="0"/>
              <w:left w:val="nil"/>
              <w:bottom w:val="single" w:color="auto" w:sz="4" w:space="0"/>
              <w:right w:val="single" w:color="auto" w:sz="4" w:space="0"/>
            </w:tcBorders>
            <w:noWrap w:val="0"/>
            <w:vAlign w:val="center"/>
          </w:tcPr>
          <w:p w14:paraId="7BCA39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附属第三</w:t>
            </w:r>
            <w:r>
              <w:rPr>
                <w:rFonts w:hint="eastAsia" w:ascii="宋体" w:hAnsi="宋体" w:cs="宋体"/>
                <w:i w:val="0"/>
                <w:iCs w:val="0"/>
                <w:color w:val="000000"/>
                <w:kern w:val="0"/>
                <w:sz w:val="20"/>
                <w:szCs w:val="20"/>
                <w:u w:val="none"/>
                <w:lang w:val="en-US" w:eastAsia="zh-CN" w:bidi="ar"/>
              </w:rPr>
              <w:t>医</w:t>
            </w:r>
            <w:r>
              <w:rPr>
                <w:rFonts w:hint="eastAsia" w:ascii="宋体" w:hAnsi="宋体" w:eastAsia="宋体" w:cs="宋体"/>
                <w:i w:val="0"/>
                <w:iCs w:val="0"/>
                <w:color w:val="000000"/>
                <w:kern w:val="0"/>
                <w:sz w:val="20"/>
                <w:szCs w:val="20"/>
                <w:u w:val="none"/>
                <w:lang w:val="en-US" w:eastAsia="zh-CN" w:bidi="ar"/>
              </w:rPr>
              <w:t>院</w:t>
            </w:r>
          </w:p>
        </w:tc>
        <w:tc>
          <w:tcPr>
            <w:tcW w:w="5374" w:type="dxa"/>
            <w:tcBorders>
              <w:top w:val="single" w:color="auto" w:sz="4" w:space="0"/>
              <w:left w:val="nil"/>
              <w:bottom w:val="single" w:color="auto" w:sz="4" w:space="0"/>
              <w:right w:val="single" w:color="auto" w:sz="4" w:space="0"/>
            </w:tcBorders>
            <w:noWrap w:val="0"/>
            <w:vAlign w:val="center"/>
          </w:tcPr>
          <w:p w14:paraId="764326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1.黄婷婷；2.金淼；3.周健；4.李金森；5.程浩</w:t>
            </w:r>
          </w:p>
        </w:tc>
      </w:tr>
      <w:tr w14:paraId="247A2F65">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3AB09539">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3F8E80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AMH检测在绝经过渡期女性预防骨质疏松症早期干预的应用</w:t>
            </w:r>
          </w:p>
        </w:tc>
        <w:tc>
          <w:tcPr>
            <w:tcW w:w="1695" w:type="dxa"/>
            <w:tcBorders>
              <w:top w:val="single" w:color="auto" w:sz="4" w:space="0"/>
              <w:left w:val="nil"/>
              <w:bottom w:val="single" w:color="auto" w:sz="4" w:space="0"/>
              <w:right w:val="single" w:color="auto" w:sz="4" w:space="0"/>
            </w:tcBorders>
            <w:noWrap w:val="0"/>
            <w:vAlign w:val="center"/>
          </w:tcPr>
          <w:p w14:paraId="1C247A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附属第一医院</w:t>
            </w:r>
          </w:p>
        </w:tc>
        <w:tc>
          <w:tcPr>
            <w:tcW w:w="5374" w:type="dxa"/>
            <w:tcBorders>
              <w:top w:val="single" w:color="auto" w:sz="4" w:space="0"/>
              <w:left w:val="nil"/>
              <w:bottom w:val="single" w:color="auto" w:sz="4" w:space="0"/>
              <w:right w:val="single" w:color="auto" w:sz="4" w:space="0"/>
            </w:tcBorders>
            <w:noWrap w:val="0"/>
            <w:vAlign w:val="center"/>
          </w:tcPr>
          <w:p w14:paraId="751291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1.马晓瑞；2.韩丽新；3.吴娟；4.曹立新；5.隋晓宇</w:t>
            </w:r>
          </w:p>
        </w:tc>
      </w:tr>
      <w:tr w14:paraId="099A3D4B">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6182D72C">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5635F2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三导丝技术在冠脉支架膨胀不良中的应用</w:t>
            </w:r>
          </w:p>
        </w:tc>
        <w:tc>
          <w:tcPr>
            <w:tcW w:w="1695" w:type="dxa"/>
            <w:tcBorders>
              <w:top w:val="single" w:color="auto" w:sz="4" w:space="0"/>
              <w:left w:val="nil"/>
              <w:bottom w:val="single" w:color="auto" w:sz="4" w:space="0"/>
              <w:right w:val="single" w:color="auto" w:sz="4" w:space="0"/>
            </w:tcBorders>
            <w:noWrap w:val="0"/>
            <w:vAlign w:val="center"/>
          </w:tcPr>
          <w:p w14:paraId="7A8695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附属第一医院</w:t>
            </w:r>
          </w:p>
        </w:tc>
        <w:tc>
          <w:tcPr>
            <w:tcW w:w="5374" w:type="dxa"/>
            <w:tcBorders>
              <w:top w:val="single" w:color="auto" w:sz="4" w:space="0"/>
              <w:left w:val="nil"/>
              <w:bottom w:val="single" w:color="auto" w:sz="4" w:space="0"/>
              <w:right w:val="single" w:color="auto" w:sz="4" w:space="0"/>
            </w:tcBorders>
            <w:noWrap w:val="0"/>
            <w:vAlign w:val="center"/>
          </w:tcPr>
          <w:p w14:paraId="64C96B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1.崔东吉；2.羡微微；3.夏颖；4.曾丽艳；5.张宝俊</w:t>
            </w:r>
          </w:p>
        </w:tc>
      </w:tr>
      <w:tr w14:paraId="3FADEB41">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61EB39CA">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399E76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直视化ERAT的临床应用</w:t>
            </w:r>
          </w:p>
        </w:tc>
        <w:tc>
          <w:tcPr>
            <w:tcW w:w="1695" w:type="dxa"/>
            <w:tcBorders>
              <w:top w:val="single" w:color="auto" w:sz="4" w:space="0"/>
              <w:left w:val="nil"/>
              <w:bottom w:val="single" w:color="auto" w:sz="4" w:space="0"/>
              <w:right w:val="single" w:color="auto" w:sz="4" w:space="0"/>
            </w:tcBorders>
            <w:noWrap w:val="0"/>
            <w:vAlign w:val="center"/>
          </w:tcPr>
          <w:p w14:paraId="77769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附属第二医院</w:t>
            </w:r>
          </w:p>
        </w:tc>
        <w:tc>
          <w:tcPr>
            <w:tcW w:w="5374" w:type="dxa"/>
            <w:tcBorders>
              <w:top w:val="single" w:color="auto" w:sz="4" w:space="0"/>
              <w:left w:val="nil"/>
              <w:bottom w:val="single" w:color="auto" w:sz="4" w:space="0"/>
              <w:right w:val="single" w:color="auto" w:sz="4" w:space="0"/>
            </w:tcBorders>
            <w:noWrap w:val="0"/>
            <w:vAlign w:val="center"/>
          </w:tcPr>
          <w:p w14:paraId="4FD53A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1.张利伟；2.范立君；3.杨路；4.李月；5.赵万杰</w:t>
            </w:r>
          </w:p>
        </w:tc>
      </w:tr>
      <w:tr w14:paraId="3FC3722B">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763E798E">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6D567348">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面神经损伤的神经电生理检测在面瘫中的临床应用</w:t>
            </w:r>
          </w:p>
        </w:tc>
        <w:tc>
          <w:tcPr>
            <w:tcW w:w="1695" w:type="dxa"/>
            <w:tcBorders>
              <w:top w:val="single" w:color="auto" w:sz="4" w:space="0"/>
              <w:left w:val="nil"/>
              <w:bottom w:val="single" w:color="auto" w:sz="4" w:space="0"/>
              <w:right w:val="single" w:color="auto" w:sz="4" w:space="0"/>
            </w:tcBorders>
            <w:noWrap w:val="0"/>
            <w:vAlign w:val="center"/>
          </w:tcPr>
          <w:p w14:paraId="406C8B0B">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附属第三</w:t>
            </w:r>
            <w:r>
              <w:rPr>
                <w:rFonts w:hint="eastAsia" w:ascii="宋体" w:hAnsi="宋体" w:cs="宋体"/>
                <w:i w:val="0"/>
                <w:iCs w:val="0"/>
                <w:color w:val="000000"/>
                <w:kern w:val="0"/>
                <w:sz w:val="20"/>
                <w:szCs w:val="20"/>
                <w:u w:val="none"/>
                <w:lang w:val="en-US" w:eastAsia="zh-CN" w:bidi="ar"/>
              </w:rPr>
              <w:t>医</w:t>
            </w:r>
            <w:bookmarkStart w:id="0" w:name="_GoBack"/>
            <w:bookmarkEnd w:id="0"/>
            <w:r>
              <w:rPr>
                <w:rFonts w:hint="eastAsia" w:ascii="宋体" w:hAnsi="宋体" w:eastAsia="宋体" w:cs="宋体"/>
                <w:i w:val="0"/>
                <w:iCs w:val="0"/>
                <w:color w:val="000000"/>
                <w:kern w:val="0"/>
                <w:sz w:val="20"/>
                <w:szCs w:val="20"/>
                <w:u w:val="none"/>
                <w:lang w:val="en-US" w:eastAsia="zh-CN" w:bidi="ar"/>
              </w:rPr>
              <w:t>院</w:t>
            </w:r>
          </w:p>
        </w:tc>
        <w:tc>
          <w:tcPr>
            <w:tcW w:w="5374" w:type="dxa"/>
            <w:tcBorders>
              <w:top w:val="single" w:color="auto" w:sz="4" w:space="0"/>
              <w:left w:val="nil"/>
              <w:bottom w:val="single" w:color="auto" w:sz="4" w:space="0"/>
              <w:right w:val="single" w:color="auto" w:sz="4" w:space="0"/>
            </w:tcBorders>
            <w:noWrap w:val="0"/>
            <w:vAlign w:val="center"/>
          </w:tcPr>
          <w:p w14:paraId="040792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1.王克凡；2.陈庆友；3.范博；4.张雨；5.吴乐楠</w:t>
            </w:r>
          </w:p>
        </w:tc>
      </w:tr>
      <w:tr w14:paraId="506E16F9">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7688A9C6">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14A7ECDC">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25-羟基维生素D检测在甲状腺疾病中的临床应用</w:t>
            </w:r>
          </w:p>
        </w:tc>
        <w:tc>
          <w:tcPr>
            <w:tcW w:w="1695" w:type="dxa"/>
            <w:tcBorders>
              <w:top w:val="single" w:color="auto" w:sz="4" w:space="0"/>
              <w:left w:val="nil"/>
              <w:bottom w:val="single" w:color="auto" w:sz="4" w:space="0"/>
              <w:right w:val="single" w:color="auto" w:sz="4" w:space="0"/>
            </w:tcBorders>
            <w:noWrap w:val="0"/>
            <w:vAlign w:val="center"/>
          </w:tcPr>
          <w:p w14:paraId="176CA66C">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附属第一医院</w:t>
            </w:r>
          </w:p>
        </w:tc>
        <w:tc>
          <w:tcPr>
            <w:tcW w:w="5374" w:type="dxa"/>
            <w:tcBorders>
              <w:top w:val="single" w:color="auto" w:sz="4" w:space="0"/>
              <w:left w:val="nil"/>
              <w:bottom w:val="single" w:color="auto" w:sz="4" w:space="0"/>
              <w:right w:val="single" w:color="auto" w:sz="4" w:space="0"/>
            </w:tcBorders>
            <w:noWrap w:val="0"/>
            <w:vAlign w:val="center"/>
          </w:tcPr>
          <w:p w14:paraId="5AD7E2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1.闫小景；2.徐书博；3.李春香；4.吴娟；5.王晓鑫</w:t>
            </w:r>
          </w:p>
        </w:tc>
      </w:tr>
      <w:tr w14:paraId="76C0100E">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74C27BAB">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0EECC15F">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儿童前牙透明冠在年轻恒牙美学修复中的应用</w:t>
            </w:r>
          </w:p>
        </w:tc>
        <w:tc>
          <w:tcPr>
            <w:tcW w:w="1695" w:type="dxa"/>
            <w:tcBorders>
              <w:top w:val="single" w:color="auto" w:sz="4" w:space="0"/>
              <w:left w:val="nil"/>
              <w:bottom w:val="single" w:color="auto" w:sz="4" w:space="0"/>
              <w:right w:val="single" w:color="auto" w:sz="4" w:space="0"/>
            </w:tcBorders>
            <w:noWrap w:val="0"/>
            <w:vAlign w:val="center"/>
          </w:tcPr>
          <w:p w14:paraId="79F81B4D">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附属第一医院</w:t>
            </w:r>
          </w:p>
        </w:tc>
        <w:tc>
          <w:tcPr>
            <w:tcW w:w="5374" w:type="dxa"/>
            <w:tcBorders>
              <w:top w:val="single" w:color="auto" w:sz="4" w:space="0"/>
              <w:left w:val="nil"/>
              <w:bottom w:val="single" w:color="auto" w:sz="4" w:space="0"/>
              <w:right w:val="single" w:color="auto" w:sz="4" w:space="0"/>
            </w:tcBorders>
            <w:noWrap w:val="0"/>
            <w:vAlign w:val="center"/>
          </w:tcPr>
          <w:p w14:paraId="541BE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1.刘昕；2.薛徽；3.戴丹；4.滕佳伟；5.刘玉晗</w:t>
            </w:r>
          </w:p>
        </w:tc>
      </w:tr>
      <w:tr w14:paraId="05EBF6CE">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right w:val="single" w:color="auto" w:sz="4" w:space="0"/>
            </w:tcBorders>
            <w:noWrap/>
            <w:vAlign w:val="center"/>
          </w:tcPr>
          <w:p w14:paraId="756D2F64">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35DD65EE">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术中冰冻免疫组化染色技术在术中病理诊断中的应用</w:t>
            </w:r>
          </w:p>
        </w:tc>
        <w:tc>
          <w:tcPr>
            <w:tcW w:w="1695" w:type="dxa"/>
            <w:tcBorders>
              <w:top w:val="single" w:color="auto" w:sz="4" w:space="0"/>
              <w:left w:val="nil"/>
              <w:bottom w:val="single" w:color="auto" w:sz="4" w:space="0"/>
              <w:right w:val="single" w:color="auto" w:sz="4" w:space="0"/>
            </w:tcBorders>
            <w:noWrap w:val="0"/>
            <w:vAlign w:val="center"/>
          </w:tcPr>
          <w:p w14:paraId="5D13EB35">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临床病理诊断中心</w:t>
            </w:r>
          </w:p>
        </w:tc>
        <w:tc>
          <w:tcPr>
            <w:tcW w:w="5374" w:type="dxa"/>
            <w:tcBorders>
              <w:top w:val="single" w:color="auto" w:sz="4" w:space="0"/>
              <w:left w:val="nil"/>
              <w:bottom w:val="single" w:color="auto" w:sz="4" w:space="0"/>
              <w:right w:val="single" w:color="auto" w:sz="4" w:space="0"/>
            </w:tcBorders>
            <w:noWrap w:val="0"/>
            <w:vAlign w:val="center"/>
          </w:tcPr>
          <w:p w14:paraId="69442E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1.艾中伟；2.杨帆；3.杨晓峰；4.窦薇；5.陈泉越</w:t>
            </w:r>
          </w:p>
        </w:tc>
      </w:tr>
      <w:tr w14:paraId="217717D0">
        <w:tblPrEx>
          <w:tblCellMar>
            <w:top w:w="0" w:type="dxa"/>
            <w:left w:w="108" w:type="dxa"/>
            <w:bottom w:w="0" w:type="dxa"/>
            <w:right w:w="108" w:type="dxa"/>
          </w:tblCellMar>
        </w:tblPrEx>
        <w:trPr>
          <w:trHeight w:val="680" w:hRule="exact"/>
          <w:jc w:val="center"/>
        </w:trPr>
        <w:tc>
          <w:tcPr>
            <w:tcW w:w="1026" w:type="dxa"/>
            <w:vMerge w:val="continue"/>
            <w:tcBorders>
              <w:left w:val="single" w:color="auto" w:sz="4" w:space="0"/>
              <w:bottom w:val="single" w:color="auto" w:sz="4" w:space="0"/>
              <w:right w:val="single" w:color="auto" w:sz="4" w:space="0"/>
            </w:tcBorders>
            <w:noWrap/>
            <w:vAlign w:val="center"/>
          </w:tcPr>
          <w:p w14:paraId="4F41DF92">
            <w:pPr>
              <w:jc w:val="center"/>
              <w:rPr>
                <w:rFonts w:hint="eastAsia" w:ascii="宋体" w:hAnsi="宋体" w:eastAsia="宋体" w:cs="宋体"/>
                <w:color w:val="000000"/>
                <w:kern w:val="0"/>
                <w:sz w:val="18"/>
                <w:szCs w:val="18"/>
              </w:rPr>
            </w:pPr>
          </w:p>
        </w:tc>
        <w:tc>
          <w:tcPr>
            <w:tcW w:w="6899" w:type="dxa"/>
            <w:tcBorders>
              <w:top w:val="single" w:color="auto" w:sz="4" w:space="0"/>
              <w:left w:val="nil"/>
              <w:bottom w:val="single" w:color="auto" w:sz="4" w:space="0"/>
              <w:right w:val="single" w:color="auto" w:sz="4" w:space="0"/>
            </w:tcBorders>
            <w:noWrap w:val="0"/>
            <w:vAlign w:val="center"/>
          </w:tcPr>
          <w:p w14:paraId="26B7CAC2">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DNA甲基化联合临床病理评估在宫颈癌术后中的应用</w:t>
            </w:r>
          </w:p>
        </w:tc>
        <w:tc>
          <w:tcPr>
            <w:tcW w:w="1695" w:type="dxa"/>
            <w:tcBorders>
              <w:top w:val="single" w:color="auto" w:sz="4" w:space="0"/>
              <w:left w:val="nil"/>
              <w:bottom w:val="single" w:color="auto" w:sz="4" w:space="0"/>
              <w:right w:val="single" w:color="auto" w:sz="4" w:space="0"/>
            </w:tcBorders>
            <w:noWrap w:val="0"/>
            <w:vAlign w:val="center"/>
          </w:tcPr>
          <w:p w14:paraId="3A75FD96">
            <w:pPr>
              <w:keepNext w:val="0"/>
              <w:keepLines w:val="0"/>
              <w:widowControl/>
              <w:suppressLineNumbers w:val="0"/>
              <w:jc w:val="center"/>
              <w:textAlignment w:val="center"/>
              <w:rPr>
                <w:rFonts w:hint="eastAsia" w:ascii="宋体" w:hAnsi="宋体" w:eastAsia="宋体" w:cs="宋体"/>
                <w:color w:val="000000"/>
                <w:sz w:val="18"/>
                <w:szCs w:val="18"/>
              </w:rPr>
            </w:pPr>
            <w:r>
              <w:rPr>
                <w:rFonts w:hint="eastAsia" w:ascii="宋体" w:hAnsi="宋体" w:eastAsia="宋体" w:cs="宋体"/>
                <w:i w:val="0"/>
                <w:iCs w:val="0"/>
                <w:color w:val="000000"/>
                <w:kern w:val="0"/>
                <w:sz w:val="20"/>
                <w:szCs w:val="20"/>
                <w:u w:val="none"/>
                <w:lang w:val="en-US" w:eastAsia="zh-CN" w:bidi="ar"/>
              </w:rPr>
              <w:t>临床病理诊断中心</w:t>
            </w:r>
          </w:p>
        </w:tc>
        <w:tc>
          <w:tcPr>
            <w:tcW w:w="5374" w:type="dxa"/>
            <w:tcBorders>
              <w:top w:val="single" w:color="auto" w:sz="4" w:space="0"/>
              <w:left w:val="nil"/>
              <w:bottom w:val="single" w:color="auto" w:sz="4" w:space="0"/>
              <w:right w:val="single" w:color="auto" w:sz="4" w:space="0"/>
            </w:tcBorders>
            <w:noWrap w:val="0"/>
            <w:vAlign w:val="center"/>
          </w:tcPr>
          <w:p w14:paraId="4E3C60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1.崔丹丹；2.王俊苹；3.王海粟；4.柏青杨；5.杨帆</w:t>
            </w:r>
          </w:p>
        </w:tc>
      </w:tr>
    </w:tbl>
    <w:p w14:paraId="32A3458B"/>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D5A86"/>
    <w:rsid w:val="75ED5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2026-08-03T01:51:00Z</dcterms:created>
  <dc:creator>妍子</dc:creator>
  <cp:lastModifiedBy>妍子</cp:lastModifiedBy>
  <dcterms:modified xsi:type="dcterms:W3CDTF">2026-08-03T02:01:17Z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0624D2BB2E944B4F8D16D67230867B73_11</vt:lpwstr>
  </property>
  <property fmtid="{D5CDD505-2E9C-101B-9397-08002B2CF9AE}" pid="4" name="KSOTemplateDocerSaveRecord">
    <vt:lpwstr>eyJoZGlkIjoiNzE3MGRjZTJlYmVkOTI4MjNiNGFjNWZhMGJiMzVkZWYiLCJ1c2VySWQiOiIzNzE1Nzk5NDAifQ==</vt:lpwstr>
  </property>
</Properties>
</file>