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jc w:val="center"/>
        <w:textAlignment w:val="auto"/>
        <w:outlineLvl w:val="9"/>
        <w:rPr>
          <w:rFonts w:hint="default" w:ascii="Times New Roman" w:hAnsi="Times New Roman" w:cs="Times New Roman" w:eastAsiaTheme="majorEastAsia"/>
          <w:b/>
          <w:bCs/>
          <w:sz w:val="36"/>
          <w:szCs w:val="36"/>
          <w:lang w:val="en-US" w:eastAsia="zh-CN"/>
        </w:rPr>
      </w:pPr>
      <w:r>
        <w:rPr>
          <w:rFonts w:hint="default" w:ascii="Times New Roman" w:hAnsi="Times New Roman" w:cs="Times New Roman" w:eastAsiaTheme="majorEastAsia"/>
          <w:b/>
          <w:bCs/>
          <w:sz w:val="36"/>
          <w:szCs w:val="36"/>
          <w:lang w:val="en-US" w:eastAsia="zh-CN"/>
        </w:rPr>
        <w:t>2022年省重点研发计划申报指南</w:t>
      </w:r>
    </w:p>
    <w:p>
      <w:pPr>
        <w:keepNext w:val="0"/>
        <w:keepLines w:val="0"/>
        <w:pageBreakBefore w:val="0"/>
        <w:kinsoku/>
        <w:wordWrap/>
        <w:overflowPunct/>
        <w:topLinePunct w:val="0"/>
        <w:bidi w:val="0"/>
        <w:spacing w:line="560" w:lineRule="exact"/>
        <w:jc w:val="center"/>
        <w:textAlignment w:val="auto"/>
        <w:rPr>
          <w:rFonts w:hint="default" w:ascii="Times New Roman" w:hAnsi="Times New Roman" w:eastAsia="楷体_GB2312" w:cs="Times New Roman"/>
          <w:b w:val="0"/>
          <w:bCs/>
          <w:color w:val="auto"/>
          <w:sz w:val="32"/>
          <w:szCs w:val="32"/>
        </w:rPr>
      </w:pPr>
      <w:r>
        <w:rPr>
          <w:rFonts w:hint="default" w:ascii="Times New Roman" w:hAnsi="Times New Roman" w:eastAsia="楷体_GB2312" w:cs="Times New Roman"/>
          <w:b w:val="0"/>
          <w:bCs/>
          <w:color w:val="auto"/>
          <w:sz w:val="32"/>
          <w:szCs w:val="32"/>
          <w:lang w:eastAsia="zh-CN"/>
        </w:rPr>
        <w:t>（</w:t>
      </w:r>
      <w:r>
        <w:rPr>
          <w:rFonts w:hint="default" w:ascii="Times New Roman" w:hAnsi="Times New Roman" w:eastAsia="楷体_GB2312" w:cs="Times New Roman"/>
          <w:b w:val="0"/>
          <w:bCs/>
          <w:color w:val="auto"/>
          <w:sz w:val="32"/>
          <w:szCs w:val="32"/>
        </w:rPr>
        <w:t>数字经济、生物经济专项</w:t>
      </w:r>
      <w:r>
        <w:rPr>
          <w:rFonts w:hint="default" w:ascii="Times New Roman" w:hAnsi="Times New Roman" w:eastAsia="楷体_GB2312" w:cs="Times New Roman"/>
          <w:b w:val="0"/>
          <w:bCs/>
          <w:color w:val="auto"/>
          <w:sz w:val="32"/>
          <w:szCs w:val="32"/>
          <w:lang w:eastAsia="zh-CN"/>
        </w:rPr>
        <w:t>）</w:t>
      </w:r>
    </w:p>
    <w:p>
      <w:pPr>
        <w:pStyle w:val="9"/>
        <w:widowControl/>
        <w:spacing w:before="0" w:beforeAutospacing="0" w:after="0" w:afterAutospacing="0" w:line="560" w:lineRule="exact"/>
        <w:ind w:firstLine="640" w:firstLineChars="200"/>
        <w:jc w:val="both"/>
        <w:rPr>
          <w:rFonts w:hint="default" w:ascii="Times New Roman" w:hAnsi="Times New Roman" w:eastAsia="仿宋_GB2312" w:cs="Times New Roman"/>
          <w:color w:val="auto"/>
          <w:sz w:val="32"/>
          <w:szCs w:val="32"/>
        </w:rPr>
      </w:pPr>
    </w:p>
    <w:p>
      <w:pPr>
        <w:pStyle w:val="9"/>
        <w:widowControl/>
        <w:spacing w:before="0" w:beforeAutospacing="0" w:after="0" w:afterAutospacing="0" w:line="560" w:lineRule="exact"/>
        <w:ind w:firstLine="640" w:firstLineChars="200"/>
        <w:jc w:val="both"/>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首批共发布数字经济、生物经济2个专项，121项指南方向。其中，</w:t>
      </w:r>
      <w:r>
        <w:rPr>
          <w:rFonts w:hint="default" w:ascii="Times New Roman" w:hAnsi="Times New Roman" w:eastAsia="仿宋_GB2312" w:cs="Times New Roman"/>
          <w:b w:val="0"/>
          <w:bCs w:val="0"/>
          <w:i w:val="0"/>
          <w:iCs w:val="0"/>
          <w:color w:val="auto"/>
          <w:kern w:val="2"/>
          <w:sz w:val="32"/>
          <w:szCs w:val="32"/>
          <w:highlight w:val="none"/>
          <w:lang w:val="en-US" w:eastAsia="zh-CN" w:bidi="ar-SA"/>
        </w:rPr>
        <w:t>数字经济专项63个指南</w:t>
      </w:r>
      <w:r>
        <w:rPr>
          <w:rFonts w:hint="default" w:ascii="Times New Roman" w:hAnsi="Times New Roman" w:eastAsia="仿宋_GB2312" w:cs="Times New Roman"/>
          <w:color w:val="auto"/>
          <w:sz w:val="32"/>
          <w:szCs w:val="32"/>
          <w:highlight w:val="none"/>
          <w:lang w:val="en-US" w:eastAsia="zh-CN"/>
        </w:rPr>
        <w:t>方向</w:t>
      </w:r>
      <w:r>
        <w:rPr>
          <w:rFonts w:hint="default" w:ascii="Times New Roman" w:hAnsi="Times New Roman" w:eastAsia="仿宋_GB2312" w:cs="Times New Roman"/>
          <w:b w:val="0"/>
          <w:bCs w:val="0"/>
          <w:i w:val="0"/>
          <w:iCs w:val="0"/>
          <w:color w:val="auto"/>
          <w:kern w:val="2"/>
          <w:sz w:val="32"/>
          <w:szCs w:val="32"/>
          <w:highlight w:val="none"/>
          <w:lang w:val="en-US" w:eastAsia="zh-CN" w:bidi="ar-SA"/>
        </w:rPr>
        <w:t>；生物经济专项58个指南</w:t>
      </w:r>
      <w:r>
        <w:rPr>
          <w:rFonts w:hint="default" w:ascii="Times New Roman" w:hAnsi="Times New Roman" w:eastAsia="仿宋_GB2312" w:cs="Times New Roman"/>
          <w:color w:val="auto"/>
          <w:sz w:val="32"/>
          <w:szCs w:val="32"/>
          <w:highlight w:val="none"/>
          <w:lang w:val="en-US" w:eastAsia="zh-CN"/>
        </w:rPr>
        <w:t>方向</w:t>
      </w:r>
      <w:r>
        <w:rPr>
          <w:rFonts w:hint="default" w:ascii="Times New Roman" w:hAnsi="Times New Roman" w:eastAsia="仿宋_GB2312" w:cs="Times New Roman"/>
          <w:b w:val="0"/>
          <w:bCs w:val="0"/>
          <w:i w:val="0"/>
          <w:iCs w:val="0"/>
          <w:color w:val="auto"/>
          <w:kern w:val="2"/>
          <w:sz w:val="32"/>
          <w:szCs w:val="32"/>
          <w:highlight w:val="none"/>
          <w:lang w:val="en-US" w:eastAsia="zh-CN" w:bidi="ar-SA"/>
        </w:rPr>
        <w:t>。</w:t>
      </w:r>
      <w:bookmarkStart w:id="0" w:name="_GoBack"/>
      <w:bookmarkEnd w:id="0"/>
      <w:r>
        <w:rPr>
          <w:rFonts w:hint="default" w:ascii="Times New Roman" w:hAnsi="Times New Roman" w:eastAsia="仿宋_GB2312" w:cs="Times New Roman"/>
          <w:b w:val="0"/>
          <w:bCs w:val="0"/>
          <w:i w:val="0"/>
          <w:iCs w:val="0"/>
          <w:color w:val="auto"/>
          <w:kern w:val="2"/>
          <w:sz w:val="32"/>
          <w:szCs w:val="32"/>
          <w:highlight w:val="none"/>
          <w:lang w:val="en-US" w:eastAsia="zh-CN" w:bidi="ar-SA"/>
        </w:rPr>
        <w:t>关于</w:t>
      </w:r>
      <w:r>
        <w:rPr>
          <w:rFonts w:hint="default" w:ascii="Times New Roman" w:hAnsi="Times New Roman" w:eastAsia="仿宋_GB2312" w:cs="Times New Roman"/>
          <w:color w:val="auto"/>
          <w:sz w:val="32"/>
          <w:szCs w:val="32"/>
          <w:highlight w:val="none"/>
          <w:lang w:val="en-US" w:eastAsia="zh-CN"/>
        </w:rPr>
        <w:t>项目类型及创新阶段的申报建议在指南后标注，作为项目和预算申报参考。最终情况将根据项目申报和评估评审结果确定。</w:t>
      </w:r>
    </w:p>
    <w:p>
      <w:pPr>
        <w:keepNext w:val="0"/>
        <w:keepLines w:val="0"/>
        <w:pageBreakBefore w:val="0"/>
        <w:widowControl w:val="0"/>
        <w:kinsoku/>
        <w:wordWrap/>
        <w:overflowPunct/>
        <w:topLinePunct w:val="0"/>
        <w:autoSpaceDE/>
        <w:autoSpaceDN/>
        <w:bidi w:val="0"/>
        <w:adjustRightInd/>
        <w:snapToGrid/>
        <w:spacing w:line="540" w:lineRule="exact"/>
        <w:ind w:firstLine="641" w:firstLineChars="200"/>
        <w:jc w:val="both"/>
        <w:textAlignment w:val="auto"/>
        <w:rPr>
          <w:rFonts w:hint="default" w:ascii="Times New Roman" w:hAnsi="Times New Roman" w:eastAsia="华文中宋" w:cs="Times New Roman"/>
          <w:b/>
          <w:color w:val="auto"/>
          <w:sz w:val="32"/>
          <w:szCs w:val="32"/>
          <w:lang w:val="en-US" w:eastAsia="zh-CN"/>
        </w:rPr>
      </w:pPr>
      <w:r>
        <w:rPr>
          <w:rFonts w:hint="default" w:ascii="Times New Roman" w:hAnsi="Times New Roman" w:eastAsia="华文中宋" w:cs="Times New Roman"/>
          <w:b/>
          <w:bCs w:val="0"/>
          <w:color w:val="auto"/>
          <w:sz w:val="32"/>
          <w:szCs w:val="32"/>
          <w:highlight w:val="none"/>
          <w:lang w:val="en-US" w:eastAsia="zh-CN"/>
        </w:rPr>
        <w:t>【</w:t>
      </w:r>
      <w:r>
        <w:rPr>
          <w:rFonts w:hint="default" w:ascii="Times New Roman" w:hAnsi="Times New Roman" w:eastAsia="华文中宋" w:cs="Times New Roman"/>
          <w:b/>
          <w:color w:val="auto"/>
          <w:sz w:val="32"/>
          <w:szCs w:val="32"/>
        </w:rPr>
        <w:t>数字经济</w:t>
      </w:r>
      <w:r>
        <w:rPr>
          <w:rFonts w:hint="default" w:ascii="Times New Roman" w:hAnsi="Times New Roman" w:eastAsia="华文中宋" w:cs="Times New Roman"/>
          <w:b/>
          <w:color w:val="auto"/>
          <w:sz w:val="32"/>
          <w:szCs w:val="32"/>
          <w:lang w:eastAsia="zh-CN"/>
        </w:rPr>
        <w:t>专项</w:t>
      </w:r>
      <w:r>
        <w:rPr>
          <w:rFonts w:hint="default" w:ascii="Times New Roman" w:hAnsi="Times New Roman" w:eastAsia="华文中宋" w:cs="Times New Roman"/>
          <w:b/>
          <w:bCs w:val="0"/>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黑体" w:cs="Times New Roman"/>
          <w:b w:val="0"/>
          <w:bCs/>
          <w:color w:val="auto"/>
          <w:sz w:val="32"/>
          <w:szCs w:val="32"/>
          <w:highlight w:val="none"/>
          <w:lang w:val="en-US" w:eastAsia="zh-CN"/>
        </w:rPr>
      </w:pPr>
      <w:r>
        <w:rPr>
          <w:rFonts w:hint="default" w:ascii="Times New Roman" w:hAnsi="Times New Roman" w:eastAsia="黑体" w:cs="Times New Roman"/>
          <w:b w:val="0"/>
          <w:bCs/>
          <w:color w:val="auto"/>
          <w:sz w:val="32"/>
          <w:szCs w:val="32"/>
          <w:highlight w:val="none"/>
          <w:lang w:val="en-US" w:eastAsia="zh-CN"/>
        </w:rPr>
        <w:t>一、工业数字化</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1.1.1 基于数字技术的芯片晶体检测技术研发 (应用示范-重大项目)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1.1.2 铁路货车数字化智能化制造产线关键技术研究及示范应用 (应用示范-重大项目)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1.1.3 复合材料构件智能自动铺丝设备开发及应用 (应用示范-重大项目)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1.1.4 数字化智能网联精密机床柔性产线关键技术研究 (应用示范-重大项目)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1.1.5 基于复合联动控制的空间复杂结构柔性数字化制造技术研究 (技术开发-重点项目)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1.1.6 面向龙江数字航道的智能无人艇观探测关键技术与系统研发 (应用示范-重大项目)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1.1.7 工业互联网标识解析体系下的云边协同智能制造技术研究 (应用示范-重大项目)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1.1.8 数据驱动的智能工业物联网平台关键技术研究 (应用示范-重大项目)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1.1.9 智能化工业控制系统研发及产业化 (应用示范-重大项目)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1.1.10 高速铁路列车占用检查设备及系统健康状态监测技术研究 (应用示范-重大项目)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1.1.11 轨道交通运载工具动态智能分析技术研究 (应用示范-重大项目)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1.1.12 大型冲击式转轮数字化制造技术研究 (应用示范-重大项目)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1.1.13 复杂恶劣环境下的高精度智能环境监测传感器网络研究 (应用示范-重大项目)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1.1.14 能源装备领域数字化与智能化协同管控技术与平台研发 (应用示范-重大项目)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1.1.15 严寒地区超低能耗智慧建筑关键技术研究与示范 (应用示范-重大项目)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1.1.16 基于数字孪生的轴承磨削加工质量管控系统研究 (技术开发-重点项目)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1.1.17 航空零部件柔性智能数字化加工技术研究 (应用示范-重大项目)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1.1.18 数字化核能供热堆三维隔震减震技术研究 (技术开发-重点项目)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1.1.19 民用直升机桨毂动部件智能制造单元的数字孪生系统研发 (应用示范-重大项目)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1.1.20 燃气轮机数字孪生应用技术研究 (应用示范-重大项目)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1.1.21 面向海上平台的三维海洋数字孪生系统研发 (应用示范-重大项目)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1.1.22 基于边缘计算的工业设备状态实时评估方法研究 (应用基础研究-重点项目)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1.1.23 自主高精度声学数字化仿真平台关键技术研究 (应用示范-重大项目)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1.1.24 基于5G被动式绿色建筑门窗材数字协同加工中心关键技术研究 (技术开发-重点项目)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1.1.25 面向无人系统的高效强化学习算法研究 (应用基础研究-重点项目)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1.1.26 传感器监测数据的紧凑表达与挖掘研究 (应用基础研究-重点项目)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1.1.27 基于多用户联邦知识迁移的滚动轴承智能故障诊断方法研究 (应用基础研究-重点项目)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黑体" w:cs="Times New Roman"/>
          <w:b w:val="0"/>
          <w:bCs/>
          <w:color w:val="auto"/>
          <w:sz w:val="32"/>
          <w:szCs w:val="32"/>
          <w:highlight w:val="none"/>
        </w:rPr>
      </w:pPr>
      <w:r>
        <w:rPr>
          <w:rFonts w:hint="default" w:ascii="Times New Roman" w:hAnsi="Times New Roman" w:eastAsia="黑体" w:cs="Times New Roman"/>
          <w:b w:val="0"/>
          <w:bCs/>
          <w:color w:val="auto"/>
          <w:sz w:val="32"/>
          <w:szCs w:val="32"/>
          <w:highlight w:val="none"/>
          <w:lang w:val="en-US" w:eastAsia="zh-CN"/>
        </w:rPr>
        <w:t>二、农业数字化</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1.2.1 面向智慧农业的可信数据共享与溯源技术研究 (应用基础研究-重点项目)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1.2.2 基于智能遥感的多时空粒度森林火险监测与预警平台关键技术研发 (技术开发-重点项目)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1.2.3 农事作业处方图智能生成与作业适期管控关键技术研发 (技术开发-重点项目)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1.2.4 规模化种植与农业托管经营数字农服体系研发 (应用示范-重大项目)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1.2.5 基于分布式数据管理的农业数据分析平台关键技术研发 (技术开发-重点项目)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1.2.6 奶牛养殖数字牧场生产关键技术研究 (技术开发-重点项目)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1.2.7 智能水产养殖系统关键技术研究 (技术开发-重点项目)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1.2.8 智能育种设施与性状分析研究 (应用基础研究-重点项目)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1.2.9 面向黑土保护的特殊微生物资源与基因挖掘与利用关键技术研究 (应用基础研究-重点项目)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1.2.10 无人化垂直植物智慧工厂研发与应用 (技术开发-重点项目)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1.2.11 农业智能机器人与农机自主作业智能控制系统关键技术研发 (应用示范-重大项目)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1.2.12 基于“天空地”遥感数据的农业智能信息服务研究 (技术开发-重点项目)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1.2.13 大田作物高效生产智能精准管控系统研究 (应用基础研究-重点项目)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1.2.14 基于拉曼光谱与人工智能的农作物营养原位检测技术研究 (应用基础研究-重点项目)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黑体" w:cs="Times New Roman"/>
          <w:b w:val="0"/>
          <w:bCs/>
          <w:color w:val="auto"/>
          <w:sz w:val="32"/>
          <w:szCs w:val="32"/>
          <w:highlight w:val="none"/>
        </w:rPr>
      </w:pPr>
      <w:r>
        <w:rPr>
          <w:rFonts w:hint="default" w:ascii="Times New Roman" w:hAnsi="Times New Roman" w:eastAsia="黑体" w:cs="Times New Roman"/>
          <w:b w:val="0"/>
          <w:bCs/>
          <w:color w:val="auto"/>
          <w:sz w:val="32"/>
          <w:szCs w:val="32"/>
          <w:highlight w:val="none"/>
          <w:lang w:val="en-US" w:eastAsia="zh-CN"/>
        </w:rPr>
        <w:t>三、服务业数字化</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1.3.1 网络化心血管病预防诊断救治与康复智能服务平台关键技术研发 (应用示范-重大项目)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1.3.2 基于物联智能平台的一体化保健服务机器人研发 (应用示范-重大项目)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1.3.3 糖尿病中医诊疗设备及技术研究 (应用示范-重大项目)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1.3.4 糖尿病视网膜病变的自动诊断技术及视网膜病变自主手术机器人研发 (技术开发-重点项目)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1.3.5 人工智能辅助药物发现和开发关键技术研究 (应用基础研究-重点项目)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1.3.6 危重症患者远程医疗救治支持、质控与智能决策系统研发 (应用示范-重大项目)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1.3.7 多感觉反馈下肢数字仿真系统研发 (技术开发-重点项目)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1.3.8 冰雪场全场景信息采集与智能监测平台关键技术研发 (应用示范-重大项目)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1.3.9 基于人工智能与物联网的信息无障碍环境化体系建设研究 (技术开发-重点项目)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1.3.10 5K超短焦一体式智能VR终端和应用内容分发云平台技术研发 (应用示范-重大项目)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1.3.11 基于中俄为核心的斯拉夫语系机器翻译技术的国际文化交流支撑系统研发 (应用基础研究-重点项目)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1.3.12 面向大中规模城市的时空信息平台及智慧排水系统关键技术研究 (技术开发-重点项目)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1.3.13 基于数字技术的寒区城市建筑碳排放监测智能云平台技术研发 (应用示范-重大项目)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1.3.14 雪场环境演化机制与建模方法研究 (应用基础研究-重点项目)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1.3.15 心脏功能的智能分析评价技术研究 (应用基础研究-重点项目)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黑体" w:cs="Times New Roman"/>
          <w:b w:val="0"/>
          <w:bCs/>
          <w:color w:val="auto"/>
          <w:sz w:val="32"/>
          <w:szCs w:val="32"/>
          <w:highlight w:val="none"/>
        </w:rPr>
      </w:pPr>
      <w:r>
        <w:rPr>
          <w:rFonts w:hint="default" w:ascii="Times New Roman" w:hAnsi="Times New Roman" w:eastAsia="黑体" w:cs="Times New Roman"/>
          <w:b w:val="0"/>
          <w:bCs/>
          <w:color w:val="auto"/>
          <w:sz w:val="32"/>
          <w:szCs w:val="32"/>
          <w:highlight w:val="none"/>
          <w:lang w:val="en-US" w:eastAsia="zh-CN"/>
        </w:rPr>
        <w:t>四、数字产业化</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1.4.1 面向辐射全国算力网络的智能调度平台关键技术研发 (技术开发-重点项目)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1.4.2 面向寒带“双碳目标”的算力网络智慧大脑研发 (应用示范-重大项目)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1.4.3 适应数字经济的企业智能办公与服务平台关键技术研发 (应用示范-重大项目)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1.4.4 直播电商大数据挖掘分析技术研究 (技术开发-重点项目)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1.4.5 基于网络安全知识图谱的智能网络安全防御平台技术研发 (应用示范-重大项目)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1.4.6 复杂电磁环境下电磁频谱数字化管理及智能分析技术研究 (应用基础研究-重点项目)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1.4.7 基于联邦学习的数据隐私保护技术研究 (应用基础研究-重点项目)</w:t>
      </w:r>
    </w:p>
    <w:p>
      <w:pPr>
        <w:keepNext w:val="0"/>
        <w:keepLines w:val="0"/>
        <w:pageBreakBefore w:val="0"/>
        <w:widowControl w:val="0"/>
        <w:kinsoku/>
        <w:wordWrap/>
        <w:overflowPunct/>
        <w:topLinePunct w:val="0"/>
        <w:autoSpaceDE/>
        <w:autoSpaceDN/>
        <w:bidi w:val="0"/>
        <w:adjustRightInd/>
        <w:snapToGrid/>
        <w:spacing w:line="540" w:lineRule="exact"/>
        <w:ind w:firstLine="641" w:firstLineChars="200"/>
        <w:jc w:val="both"/>
        <w:textAlignment w:val="auto"/>
        <w:rPr>
          <w:rFonts w:hint="default" w:ascii="Times New Roman" w:hAnsi="Times New Roman" w:eastAsia="华文中宋" w:cs="Times New Roman"/>
          <w:b/>
          <w:bCs w:val="0"/>
          <w:color w:val="auto"/>
          <w:sz w:val="32"/>
          <w:szCs w:val="32"/>
          <w:highlight w:val="none"/>
          <w:lang w:val="en-US" w:eastAsia="zh-CN"/>
        </w:rPr>
      </w:pPr>
      <w:r>
        <w:rPr>
          <w:rFonts w:hint="default" w:ascii="Times New Roman" w:hAnsi="Times New Roman" w:eastAsia="华文中宋" w:cs="Times New Roman"/>
          <w:b/>
          <w:bCs w:val="0"/>
          <w:color w:val="auto"/>
          <w:sz w:val="32"/>
          <w:szCs w:val="32"/>
          <w:highlight w:val="none"/>
          <w:lang w:val="en-US" w:eastAsia="zh-CN"/>
        </w:rPr>
        <w:t>【</w:t>
      </w:r>
      <w:r>
        <w:rPr>
          <w:rFonts w:hint="default" w:ascii="Times New Roman" w:hAnsi="Times New Roman" w:eastAsia="华文中宋" w:cs="Times New Roman"/>
          <w:b/>
          <w:color w:val="auto"/>
          <w:sz w:val="32"/>
          <w:szCs w:val="32"/>
          <w:lang w:eastAsia="zh-CN"/>
        </w:rPr>
        <w:t>生物</w:t>
      </w:r>
      <w:r>
        <w:rPr>
          <w:rFonts w:hint="default" w:ascii="Times New Roman" w:hAnsi="Times New Roman" w:eastAsia="华文中宋" w:cs="Times New Roman"/>
          <w:b/>
          <w:color w:val="auto"/>
          <w:sz w:val="32"/>
          <w:szCs w:val="32"/>
        </w:rPr>
        <w:t>经济</w:t>
      </w:r>
      <w:r>
        <w:rPr>
          <w:rFonts w:hint="default" w:ascii="Times New Roman" w:hAnsi="Times New Roman" w:eastAsia="华文中宋" w:cs="Times New Roman"/>
          <w:b/>
          <w:color w:val="auto"/>
          <w:sz w:val="32"/>
          <w:szCs w:val="32"/>
          <w:lang w:eastAsia="zh-CN"/>
        </w:rPr>
        <w:t>专项</w:t>
      </w:r>
      <w:r>
        <w:rPr>
          <w:rFonts w:hint="default" w:ascii="Times New Roman" w:hAnsi="Times New Roman" w:eastAsia="华文中宋" w:cs="Times New Roman"/>
          <w:b/>
          <w:bCs w:val="0"/>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黑体" w:cs="Times New Roman"/>
          <w:b w:val="0"/>
          <w:bCs/>
          <w:color w:val="auto"/>
          <w:sz w:val="32"/>
          <w:szCs w:val="32"/>
          <w:highlight w:val="none"/>
          <w:lang w:val="en-US" w:eastAsia="zh-CN"/>
        </w:rPr>
      </w:pPr>
      <w:r>
        <w:rPr>
          <w:rFonts w:hint="default" w:ascii="Times New Roman" w:hAnsi="Times New Roman" w:eastAsia="黑体" w:cs="Times New Roman"/>
          <w:b w:val="0"/>
          <w:bCs/>
          <w:color w:val="auto"/>
          <w:sz w:val="32"/>
          <w:szCs w:val="32"/>
          <w:highlight w:val="none"/>
          <w:lang w:val="en-US" w:eastAsia="zh-CN"/>
        </w:rPr>
        <w:t>一、生物农业</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楷体_GB2312" w:cs="Times New Roman"/>
          <w:b w:val="0"/>
          <w:bCs w:val="0"/>
          <w:color w:val="auto"/>
          <w:sz w:val="32"/>
          <w:szCs w:val="32"/>
          <w:lang w:val="en-US" w:eastAsia="zh-CN"/>
        </w:rPr>
      </w:pPr>
      <w:r>
        <w:rPr>
          <w:rFonts w:hint="default" w:ascii="Times New Roman" w:hAnsi="Times New Roman" w:eastAsia="楷体_GB2312" w:cs="Times New Roman"/>
          <w:b w:val="0"/>
          <w:bCs w:val="0"/>
          <w:color w:val="auto"/>
          <w:sz w:val="32"/>
          <w:szCs w:val="32"/>
          <w:lang w:val="en-US" w:eastAsia="zh-CN"/>
        </w:rPr>
        <w:t>（一）生物育种</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2.1.1 玉米主要种质基础分析与核心SNP标记筛选 (应用基础研究-重点项目)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2.1.2 利用全基因组选育技术创制玉米优异种质资源及技术应用 (应用基础研究-重点项目)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2.1.3 寒地早粳稻孕穗期耐冷基因的功能验证与耐冷种质资源创新利用 (应用基础研究-重点项目)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2.1.4 利用全基因组选择方法筛选耐盐碱水稻种质资源及配套技术研究 (应用基础研究-重点项目)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2.1.5 寒地野生大豆优异基因挖掘与新材料创制应用 (应用基础研究-重点项目)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2.1.6 利用重要性状机理解析抗线虫、耐盐碱大豆高产优质同步模式研究与示范 (技术开发-重点项目)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2.1.7 利用组学和分子生物学技术形成马铃薯优异高效性状的重要基因与应用研究 (应用基础研究-重点项目)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2.1.8 主要蔬菜作物分子辅助育种决策与新品系培育研究 (应用示范-重大项目)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2.1.9 蔬菜作物重要性状基因功能鉴定与分子调控网络技术研究 (应用基础研究-重点项目)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2.1.10 利用等离子体诱变技术选育适合北方栽培的珍稀伴生食用菌菌种及应用 (应用示范-重大项目)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2.1.11 整合分子聚合与单倍体技术创制优质强筋春小麦新品系 (应用基础研究-重点项目)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2.1.12 肉牛分子育种研发与遗传资源挖掘 (应用基础研究-重点项目)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2.1.13 利用分子育种技术进行种猪核心群组建及专门化品系培育 (技术开发-重点项目)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楷体_GB2312" w:cs="Times New Roman"/>
          <w:b w:val="0"/>
          <w:bCs w:val="0"/>
          <w:color w:val="auto"/>
          <w:sz w:val="32"/>
          <w:szCs w:val="32"/>
          <w:lang w:val="en-US" w:eastAsia="zh-CN"/>
        </w:rPr>
      </w:pPr>
      <w:r>
        <w:rPr>
          <w:rFonts w:hint="default" w:ascii="Times New Roman" w:hAnsi="Times New Roman" w:eastAsia="楷体_GB2312" w:cs="Times New Roman"/>
          <w:b w:val="0"/>
          <w:bCs w:val="0"/>
          <w:color w:val="auto"/>
          <w:sz w:val="32"/>
          <w:szCs w:val="32"/>
          <w:lang w:val="en-US" w:eastAsia="zh-CN"/>
        </w:rPr>
        <w:t>（二）生物疫苗与兽药</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2.1.14 禽流感新型水禽疫苗研发和产业化 (应用示范-重大项目)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2.1.15 伴侣动物疫病防控制剂创制 (技术开发-重点项目)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2.1.16 猪伪狂犬病活疫苗（TP株）的研发及产业化 (应用示范-重大项目)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楷体_GB2312" w:cs="Times New Roman"/>
          <w:b w:val="0"/>
          <w:bCs w:val="0"/>
          <w:color w:val="auto"/>
          <w:sz w:val="32"/>
          <w:szCs w:val="32"/>
          <w:lang w:val="en-US" w:eastAsia="zh-CN"/>
        </w:rPr>
      </w:pPr>
      <w:r>
        <w:rPr>
          <w:rFonts w:hint="default" w:ascii="Times New Roman" w:hAnsi="Times New Roman" w:eastAsia="楷体_GB2312" w:cs="Times New Roman"/>
          <w:b w:val="0"/>
          <w:bCs w:val="0"/>
          <w:color w:val="auto"/>
          <w:sz w:val="32"/>
          <w:szCs w:val="32"/>
          <w:lang w:val="en-US" w:eastAsia="zh-CN"/>
        </w:rPr>
        <w:t>（三）生物发酵工程</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2.1.17 L-乳酸发酵生产关键技术研究与应用 (应用示范-重大项目)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2.1.18 超低热量甜味剂赤藓糖醇发酵生产关键技术及应用 (应用示范-重大项目)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2.1.19 高品质葡萄糖氧化酶产品开发及产业化示范 (应用示范-重大项目)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2.1.20 玉米食品基料粉及其系列产品开发及关键生产设备创制 (技术开发-重点项目)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2.1.21 豆类膳食功能因子的精准生物富集及靶向调控技术研究及应用 (技术开发-重点项目)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2.1.22 高值乳品生物加工和品质提升技术研发及应用 (技术开发-重点项目)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2.1.23 优质功能性益生菌资源挖掘与产业化示范 (应用示范-重大项目)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2.1.24 高活性益生菌健康调控和稳态化技术及产业化 (应用示范-重大项目)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黑体" w:cs="Times New Roman"/>
          <w:b w:val="0"/>
          <w:bCs/>
          <w:color w:val="auto"/>
          <w:sz w:val="32"/>
          <w:szCs w:val="32"/>
          <w:highlight w:val="none"/>
          <w:lang w:val="en-US" w:eastAsia="zh-CN"/>
        </w:rPr>
      </w:pPr>
      <w:r>
        <w:rPr>
          <w:rFonts w:hint="default" w:ascii="Times New Roman" w:hAnsi="Times New Roman" w:eastAsia="黑体" w:cs="Times New Roman"/>
          <w:b w:val="0"/>
          <w:bCs/>
          <w:color w:val="auto"/>
          <w:sz w:val="32"/>
          <w:szCs w:val="32"/>
          <w:highlight w:val="none"/>
          <w:lang w:val="en-US" w:eastAsia="zh-CN"/>
        </w:rPr>
        <w:t>二、生物医药</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2.2.1 冻干型速释制剂技术及产业化 (应用示范-重大项目)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2.2.2 基因递药系统关键技术研究 (应用示范-重大项目)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2.2.3 用于细胞膜损伤修复的重组蛋白药物的临床前研究 (应用示范-重大项目)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2.2.4 治疗非糜烂性胃食管反流病I类新药的研制 (应用示范-重大项目)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2.2.5 针对中医方证生物学机制的多组学新技术研究 (应用基础研究-重点项目)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2.2.6 提高免疫力功能性食品研发 (技术开发-重点项目)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2.2.7 古代经典名方中药新药基准样品研究 (应用基础研究-重点项目)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2.2.8 高值化五加科多糖保健品创制 (应用基础研究-重点项目)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2.2.9 中药体内药效物质发现与调控靶点研究 (应用基础研究-重点项目)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黑体" w:cs="Times New Roman"/>
          <w:b w:val="0"/>
          <w:bCs/>
          <w:color w:val="auto"/>
          <w:sz w:val="32"/>
          <w:szCs w:val="32"/>
          <w:highlight w:val="none"/>
          <w:lang w:val="en-US" w:eastAsia="zh-CN"/>
        </w:rPr>
      </w:pPr>
      <w:r>
        <w:rPr>
          <w:rFonts w:hint="default" w:ascii="Times New Roman" w:hAnsi="Times New Roman" w:eastAsia="黑体" w:cs="Times New Roman"/>
          <w:b w:val="0"/>
          <w:bCs/>
          <w:color w:val="auto"/>
          <w:sz w:val="32"/>
          <w:szCs w:val="32"/>
          <w:highlight w:val="none"/>
          <w:lang w:val="en-US" w:eastAsia="zh-CN"/>
        </w:rPr>
        <w:t>三、生物制造</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2.3.1 高品质核苷制备关键技术攻关 (应用示范-重大项目)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2.3.2 胞苷核心菌种产能提升及发酵关键技术研究 (技术开发-重点项目)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2.3.3 新型韦兰胶工业化生产工艺开发与应用研究 (技术开发-重点项目)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2.3.4 高纯度二氢槲皮素和水溶性矿物质螯合物绿色制造技术 (应用示范-重大项目)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2.3.5 龙江特色挥发油微波连续提取与缓释颗粒制备关键技术 (应用基础研究-重点项目)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黑体" w:cs="Times New Roman"/>
          <w:b w:val="0"/>
          <w:bCs/>
          <w:color w:val="auto"/>
          <w:sz w:val="32"/>
          <w:szCs w:val="32"/>
          <w:highlight w:val="none"/>
          <w:lang w:val="en-US" w:eastAsia="zh-CN"/>
        </w:rPr>
      </w:pPr>
      <w:r>
        <w:rPr>
          <w:rFonts w:hint="default" w:ascii="Times New Roman" w:hAnsi="Times New Roman" w:eastAsia="黑体" w:cs="Times New Roman"/>
          <w:b w:val="0"/>
          <w:bCs/>
          <w:color w:val="auto"/>
          <w:sz w:val="32"/>
          <w:szCs w:val="32"/>
          <w:highlight w:val="none"/>
          <w:lang w:val="en-US" w:eastAsia="zh-CN"/>
        </w:rPr>
        <w:t>四、生物能源</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2.4.1 秸秆类生物质高效产氢关键技术研发与(应用示范) (</w:t>
      </w:r>
      <w:r>
        <w:rPr>
          <w:rFonts w:hint="default" w:ascii="Times New Roman" w:hAnsi="Times New Roman" w:eastAsia="仿宋_GB2312" w:cs="Times New Roman"/>
          <w:color w:val="auto"/>
          <w:sz w:val="32"/>
          <w:szCs w:val="32"/>
          <w:highlight w:val="none"/>
          <w:lang w:eastAsia="zh-CN"/>
        </w:rPr>
        <w:t>应用示范-重大项目)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2.4.2 生物质发酵热生产与利用关键技术研究及示范 (</w:t>
      </w:r>
      <w:r>
        <w:rPr>
          <w:rFonts w:hint="default" w:ascii="Times New Roman" w:hAnsi="Times New Roman" w:eastAsia="仿宋_GB2312" w:cs="Times New Roman"/>
          <w:color w:val="auto"/>
          <w:sz w:val="32"/>
          <w:szCs w:val="32"/>
          <w:highlight w:val="none"/>
          <w:lang w:eastAsia="zh-CN"/>
        </w:rPr>
        <w:t>应用示范-重大项目)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2.4.3 微藻油脂的合成代谢网络及调控机制研究 (</w:t>
      </w:r>
      <w:r>
        <w:rPr>
          <w:rFonts w:hint="default" w:ascii="Times New Roman" w:hAnsi="Times New Roman" w:eastAsia="仿宋_GB2312" w:cs="Times New Roman"/>
          <w:color w:val="auto"/>
          <w:sz w:val="32"/>
          <w:szCs w:val="32"/>
          <w:highlight w:val="none"/>
          <w:lang w:eastAsia="zh-CN"/>
        </w:rPr>
        <w:t>应用基础研究-重点项目)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2.4.4 基于木质纤维素水热解构的生物乙醇制备调控技术及应用 (</w:t>
      </w:r>
      <w:r>
        <w:rPr>
          <w:rFonts w:hint="default" w:ascii="Times New Roman" w:hAnsi="Times New Roman" w:eastAsia="仿宋_GB2312" w:cs="Times New Roman"/>
          <w:color w:val="auto"/>
          <w:sz w:val="32"/>
          <w:szCs w:val="32"/>
          <w:highlight w:val="none"/>
          <w:lang w:eastAsia="zh-CN"/>
        </w:rPr>
        <w:t>应用基础研究-重点项目)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黑体" w:cs="Times New Roman"/>
          <w:b w:val="0"/>
          <w:bCs/>
          <w:color w:val="auto"/>
          <w:sz w:val="32"/>
          <w:szCs w:val="32"/>
          <w:highlight w:val="none"/>
          <w:lang w:val="en-US" w:eastAsia="zh-CN"/>
        </w:rPr>
      </w:pPr>
      <w:r>
        <w:rPr>
          <w:rFonts w:hint="default" w:ascii="Times New Roman" w:hAnsi="Times New Roman" w:eastAsia="黑体" w:cs="Times New Roman"/>
          <w:b w:val="0"/>
          <w:bCs/>
          <w:color w:val="auto"/>
          <w:sz w:val="32"/>
          <w:szCs w:val="32"/>
          <w:highlight w:val="none"/>
          <w:lang w:val="en-US" w:eastAsia="zh-CN"/>
        </w:rPr>
        <w:t>五、生物环保</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2.5.1 面向低碳绿色的城市生活污水菌藻共生MBR深度处理与膜污染控制技术研究与示范 (</w:t>
      </w:r>
      <w:r>
        <w:rPr>
          <w:rFonts w:hint="default" w:ascii="Times New Roman" w:hAnsi="Times New Roman" w:eastAsia="仿宋_GB2312" w:cs="Times New Roman"/>
          <w:color w:val="auto"/>
          <w:sz w:val="32"/>
          <w:szCs w:val="32"/>
          <w:highlight w:val="none"/>
          <w:lang w:eastAsia="zh-CN"/>
        </w:rPr>
        <w:t>应用示范-重大项目)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2.5.2 基于生物捕食的污水污泥高效处理与磷同步回收的“绿色”水厂技术研究与示范 (</w:t>
      </w:r>
      <w:r>
        <w:rPr>
          <w:rFonts w:hint="default" w:ascii="Times New Roman" w:hAnsi="Times New Roman" w:eastAsia="仿宋_GB2312" w:cs="Times New Roman"/>
          <w:color w:val="auto"/>
          <w:sz w:val="32"/>
          <w:szCs w:val="32"/>
          <w:highlight w:val="none"/>
          <w:lang w:eastAsia="zh-CN"/>
        </w:rPr>
        <w:t>技术开发-重点项目)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2.5.3 污水处理厂碳捕捉及碳源优化利用调控技术研发 (</w:t>
      </w:r>
      <w:r>
        <w:rPr>
          <w:rFonts w:hint="default" w:ascii="Times New Roman" w:hAnsi="Times New Roman" w:eastAsia="仿宋_GB2312" w:cs="Times New Roman"/>
          <w:color w:val="auto"/>
          <w:sz w:val="32"/>
          <w:szCs w:val="32"/>
          <w:highlight w:val="none"/>
          <w:lang w:eastAsia="zh-CN"/>
        </w:rPr>
        <w:t>应用基础研究-重点项目)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2.5.4 东北地区典型黑土农田生态系统固碳与减排技术研究与示范 (</w:t>
      </w:r>
      <w:r>
        <w:rPr>
          <w:rFonts w:hint="default" w:ascii="Times New Roman" w:hAnsi="Times New Roman" w:eastAsia="仿宋_GB2312" w:cs="Times New Roman"/>
          <w:color w:val="auto"/>
          <w:sz w:val="32"/>
          <w:szCs w:val="32"/>
          <w:highlight w:val="none"/>
          <w:lang w:eastAsia="zh-CN"/>
        </w:rPr>
        <w:t>技术开发-重点项目)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2.5.5 寒区制药废水低碳深度处理关键技术及装备研发与示范 (</w:t>
      </w:r>
      <w:r>
        <w:rPr>
          <w:rFonts w:hint="default" w:ascii="Times New Roman" w:hAnsi="Times New Roman" w:eastAsia="仿宋_GB2312" w:cs="Times New Roman"/>
          <w:color w:val="auto"/>
          <w:sz w:val="32"/>
          <w:szCs w:val="32"/>
          <w:highlight w:val="none"/>
          <w:lang w:eastAsia="zh-CN"/>
        </w:rPr>
        <w:t>技术开发-重点项目)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2.5.6 寒区多源固废超高温快速堆肥高效菌剂选育及研发 (</w:t>
      </w:r>
      <w:r>
        <w:rPr>
          <w:rFonts w:hint="default" w:ascii="Times New Roman" w:hAnsi="Times New Roman" w:eastAsia="仿宋_GB2312" w:cs="Times New Roman"/>
          <w:color w:val="auto"/>
          <w:sz w:val="32"/>
          <w:szCs w:val="32"/>
          <w:highlight w:val="none"/>
          <w:lang w:eastAsia="zh-CN"/>
        </w:rPr>
        <w:t>应用基础研究-重点项目)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2.5.7 寒区城镇污泥高效厌氧消化(技术开发)与工程示范 (</w:t>
      </w:r>
      <w:r>
        <w:rPr>
          <w:rFonts w:hint="default" w:ascii="Times New Roman" w:hAnsi="Times New Roman" w:eastAsia="仿宋_GB2312" w:cs="Times New Roman"/>
          <w:color w:val="auto"/>
          <w:sz w:val="32"/>
          <w:szCs w:val="32"/>
          <w:highlight w:val="none"/>
          <w:lang w:eastAsia="zh-CN"/>
        </w:rPr>
        <w:t>应用示范-重大项目)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2.5.8 城镇污泥有毒有害组分精准识别与毒性高灵敏溯源关键技术 (</w:t>
      </w:r>
      <w:r>
        <w:rPr>
          <w:rFonts w:hint="default" w:ascii="Times New Roman" w:hAnsi="Times New Roman" w:eastAsia="仿宋_GB2312" w:cs="Times New Roman"/>
          <w:color w:val="auto"/>
          <w:sz w:val="32"/>
          <w:szCs w:val="32"/>
          <w:highlight w:val="none"/>
          <w:lang w:eastAsia="zh-CN"/>
        </w:rPr>
        <w:t>应用基础研究-重点项目)</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黑体" w:cs="Times New Roman"/>
          <w:b w:val="0"/>
          <w:bCs/>
          <w:color w:val="auto"/>
          <w:sz w:val="32"/>
          <w:szCs w:val="32"/>
          <w:highlight w:val="none"/>
          <w:lang w:val="en-US" w:eastAsia="zh-CN"/>
        </w:rPr>
      </w:pPr>
      <w:r>
        <w:rPr>
          <w:rFonts w:hint="default" w:ascii="Times New Roman" w:hAnsi="Times New Roman" w:eastAsia="黑体" w:cs="Times New Roman"/>
          <w:b w:val="0"/>
          <w:bCs/>
          <w:color w:val="auto"/>
          <w:sz w:val="32"/>
          <w:szCs w:val="32"/>
          <w:highlight w:val="none"/>
          <w:lang w:val="en-US" w:eastAsia="zh-CN"/>
        </w:rPr>
        <w:t>六、生物医学工程</w:t>
      </w:r>
    </w:p>
    <w:p>
      <w:pPr>
        <w:keepNext w:val="0"/>
        <w:keepLines w:val="0"/>
        <w:pageBreakBefore w:val="0"/>
        <w:kinsoku/>
        <w:wordWrap/>
        <w:overflowPunct/>
        <w:topLinePunct w:val="0"/>
        <w:bidi w:val="0"/>
        <w:spacing w:line="560" w:lineRule="exact"/>
        <w:ind w:firstLine="640" w:firstLineChars="200"/>
        <w:jc w:val="both"/>
        <w:textAlignment w:val="auto"/>
        <w:rPr>
          <w:rFonts w:hint="default" w:ascii="Times New Roman" w:hAnsi="Times New Roman" w:eastAsia="仿宋_GB2312" w:cs="Times New Roman"/>
          <w:b w:val="0"/>
          <w:bCs w:val="0"/>
          <w:color w:val="auto"/>
          <w:sz w:val="32"/>
          <w:szCs w:val="32"/>
          <w:highlight w:val="none"/>
          <w:lang w:val="en-US" w:eastAsia="zh-CN"/>
        </w:rPr>
      </w:pPr>
      <w:r>
        <w:rPr>
          <w:rFonts w:hint="default" w:ascii="Times New Roman" w:hAnsi="Times New Roman" w:eastAsia="仿宋_GB2312" w:cs="Times New Roman"/>
          <w:b w:val="0"/>
          <w:bCs w:val="0"/>
          <w:color w:val="auto"/>
          <w:sz w:val="32"/>
          <w:szCs w:val="32"/>
          <w:highlight w:val="none"/>
          <w:lang w:val="en-US" w:eastAsia="zh-CN"/>
        </w:rPr>
        <w:t>2.6.1 黑龙江人群癌症基因组计划 (应用示范-重大项目)</w:t>
      </w:r>
    </w:p>
    <w:p>
      <w:pPr>
        <w:keepNext w:val="0"/>
        <w:keepLines w:val="0"/>
        <w:pageBreakBefore w:val="0"/>
        <w:kinsoku/>
        <w:wordWrap/>
        <w:overflowPunct/>
        <w:topLinePunct w:val="0"/>
        <w:bidi w:val="0"/>
        <w:spacing w:line="560" w:lineRule="exact"/>
        <w:ind w:firstLine="640" w:firstLineChars="200"/>
        <w:jc w:val="both"/>
        <w:textAlignment w:val="auto"/>
        <w:rPr>
          <w:rFonts w:hint="default" w:ascii="Times New Roman" w:hAnsi="Times New Roman" w:eastAsia="仿宋_GB2312" w:cs="Times New Roman"/>
          <w:b w:val="0"/>
          <w:bCs w:val="0"/>
          <w:color w:val="auto"/>
          <w:sz w:val="32"/>
          <w:szCs w:val="32"/>
          <w:highlight w:val="none"/>
          <w:lang w:val="en-US" w:eastAsia="zh-CN"/>
        </w:rPr>
      </w:pPr>
      <w:r>
        <w:rPr>
          <w:rFonts w:hint="default" w:ascii="Times New Roman" w:hAnsi="Times New Roman" w:eastAsia="仿宋_GB2312" w:cs="Times New Roman"/>
          <w:b w:val="0"/>
          <w:bCs w:val="0"/>
          <w:color w:val="auto"/>
          <w:sz w:val="32"/>
          <w:szCs w:val="32"/>
          <w:highlight w:val="none"/>
          <w:lang w:val="en-US" w:eastAsia="zh-CN"/>
        </w:rPr>
        <w:t>2.6.2 生物大数据网络实时分析与安全监测技术研发 (应用基础研究-重点项目)</w:t>
      </w:r>
    </w:p>
    <w:p>
      <w:pPr>
        <w:keepNext w:val="0"/>
        <w:keepLines w:val="0"/>
        <w:pageBreakBefore w:val="0"/>
        <w:kinsoku/>
        <w:wordWrap/>
        <w:overflowPunct/>
        <w:topLinePunct w:val="0"/>
        <w:bidi w:val="0"/>
        <w:spacing w:line="560" w:lineRule="exact"/>
        <w:ind w:firstLine="640" w:firstLineChars="200"/>
        <w:jc w:val="both"/>
        <w:textAlignment w:val="auto"/>
        <w:rPr>
          <w:rFonts w:hint="default" w:ascii="Times New Roman" w:hAnsi="Times New Roman" w:eastAsia="仿宋_GB2312" w:cs="Times New Roman"/>
          <w:b w:val="0"/>
          <w:bCs w:val="0"/>
          <w:color w:val="auto"/>
          <w:sz w:val="32"/>
          <w:szCs w:val="32"/>
          <w:highlight w:val="none"/>
          <w:lang w:val="en-US" w:eastAsia="zh-CN"/>
        </w:rPr>
      </w:pPr>
      <w:r>
        <w:rPr>
          <w:rFonts w:hint="default" w:ascii="Times New Roman" w:hAnsi="Times New Roman" w:eastAsia="仿宋_GB2312" w:cs="Times New Roman"/>
          <w:b w:val="0"/>
          <w:bCs w:val="0"/>
          <w:color w:val="auto"/>
          <w:sz w:val="32"/>
          <w:szCs w:val="32"/>
          <w:highlight w:val="none"/>
          <w:lang w:val="en-US" w:eastAsia="zh-CN"/>
        </w:rPr>
        <w:t>2.6.3 高精度生物3D打印装备与工艺 (技术开发-重点项目)</w:t>
      </w:r>
    </w:p>
    <w:p>
      <w:pPr>
        <w:keepNext w:val="0"/>
        <w:keepLines w:val="0"/>
        <w:pageBreakBefore w:val="0"/>
        <w:kinsoku/>
        <w:wordWrap/>
        <w:overflowPunct/>
        <w:topLinePunct w:val="0"/>
        <w:bidi w:val="0"/>
        <w:spacing w:line="560" w:lineRule="exact"/>
        <w:ind w:firstLine="640" w:firstLineChars="200"/>
        <w:jc w:val="both"/>
        <w:textAlignment w:val="auto"/>
        <w:rPr>
          <w:rFonts w:hint="default" w:ascii="Times New Roman" w:hAnsi="Times New Roman" w:eastAsia="仿宋_GB2312" w:cs="Times New Roman"/>
          <w:b w:val="0"/>
          <w:bCs w:val="0"/>
          <w:color w:val="auto"/>
          <w:sz w:val="32"/>
          <w:szCs w:val="32"/>
          <w:highlight w:val="none"/>
          <w:lang w:val="en-US" w:eastAsia="zh-CN"/>
        </w:rPr>
      </w:pPr>
      <w:r>
        <w:rPr>
          <w:rFonts w:hint="default" w:ascii="Times New Roman" w:hAnsi="Times New Roman" w:eastAsia="仿宋_GB2312" w:cs="Times New Roman"/>
          <w:b w:val="0"/>
          <w:bCs w:val="0"/>
          <w:color w:val="auto"/>
          <w:sz w:val="32"/>
          <w:szCs w:val="32"/>
          <w:highlight w:val="none"/>
          <w:lang w:val="en-US" w:eastAsia="zh-CN"/>
        </w:rPr>
        <w:t>2.6.4 可注入游动纳米机器人 (应用基础研究-重点项目)</w:t>
      </w:r>
    </w:p>
    <w:p>
      <w:pPr>
        <w:keepNext w:val="0"/>
        <w:keepLines w:val="0"/>
        <w:pageBreakBefore w:val="0"/>
        <w:kinsoku/>
        <w:wordWrap/>
        <w:overflowPunct/>
        <w:topLinePunct w:val="0"/>
        <w:bidi w:val="0"/>
        <w:spacing w:line="560" w:lineRule="exact"/>
        <w:ind w:firstLine="640" w:firstLineChars="200"/>
        <w:jc w:val="both"/>
        <w:textAlignment w:val="auto"/>
        <w:rPr>
          <w:rFonts w:hint="default" w:ascii="Times New Roman" w:hAnsi="Times New Roman" w:eastAsia="仿宋_GB2312" w:cs="Times New Roman"/>
          <w:b w:val="0"/>
          <w:bCs w:val="0"/>
          <w:color w:val="auto"/>
          <w:sz w:val="32"/>
          <w:szCs w:val="32"/>
          <w:highlight w:val="none"/>
          <w:lang w:val="en-US" w:eastAsia="zh-CN"/>
        </w:rPr>
      </w:pPr>
      <w:r>
        <w:rPr>
          <w:rFonts w:hint="default" w:ascii="Times New Roman" w:hAnsi="Times New Roman" w:eastAsia="仿宋_GB2312" w:cs="Times New Roman"/>
          <w:b w:val="0"/>
          <w:bCs w:val="0"/>
          <w:color w:val="auto"/>
          <w:sz w:val="32"/>
          <w:szCs w:val="32"/>
          <w:highlight w:val="none"/>
          <w:lang w:val="en-US" w:eastAsia="zh-CN"/>
        </w:rPr>
        <w:t>2.6.5应用于心脏疾病早期诊断的创新生物拉曼成像关键技术研发 (应用基础研究-重点项目)</w:t>
      </w:r>
    </w:p>
    <w:p>
      <w:pPr>
        <w:keepNext w:val="0"/>
        <w:keepLines w:val="0"/>
        <w:pageBreakBefore w:val="0"/>
        <w:kinsoku/>
        <w:wordWrap/>
        <w:overflowPunct/>
        <w:topLinePunct w:val="0"/>
        <w:bidi w:val="0"/>
        <w:spacing w:line="560" w:lineRule="exact"/>
        <w:ind w:firstLine="640" w:firstLineChars="200"/>
        <w:jc w:val="both"/>
        <w:textAlignment w:val="auto"/>
        <w:rPr>
          <w:rFonts w:hint="default" w:ascii="Times New Roman" w:hAnsi="Times New Roman" w:eastAsia="仿宋_GB2312" w:cs="Times New Roman"/>
          <w:b w:val="0"/>
          <w:bCs w:val="0"/>
          <w:color w:val="auto"/>
          <w:sz w:val="32"/>
          <w:szCs w:val="32"/>
          <w:highlight w:val="none"/>
          <w:lang w:val="en-US" w:eastAsia="zh-CN"/>
        </w:rPr>
      </w:pPr>
      <w:r>
        <w:rPr>
          <w:rFonts w:hint="default" w:ascii="Times New Roman" w:hAnsi="Times New Roman" w:eastAsia="仿宋_GB2312" w:cs="Times New Roman"/>
          <w:b w:val="0"/>
          <w:bCs w:val="0"/>
          <w:color w:val="auto"/>
          <w:sz w:val="32"/>
          <w:szCs w:val="32"/>
          <w:highlight w:val="none"/>
          <w:lang w:val="en-US" w:eastAsia="zh-CN"/>
        </w:rPr>
        <w:t>2.6.6 壳聚糖基多功能医美健康材料及其原位凝胶的研发 (应用示范-重大项目)</w:t>
      </w:r>
    </w:p>
    <w:p>
      <w:pPr>
        <w:keepNext w:val="0"/>
        <w:keepLines w:val="0"/>
        <w:pageBreakBefore w:val="0"/>
        <w:kinsoku/>
        <w:wordWrap/>
        <w:overflowPunct/>
        <w:topLinePunct w:val="0"/>
        <w:bidi w:val="0"/>
        <w:spacing w:line="560" w:lineRule="exact"/>
        <w:ind w:firstLine="640" w:firstLineChars="200"/>
        <w:jc w:val="both"/>
        <w:textAlignment w:val="auto"/>
        <w:rPr>
          <w:rFonts w:hint="default" w:ascii="Times New Roman" w:hAnsi="Times New Roman" w:eastAsia="仿宋_GB2312" w:cs="Times New Roman"/>
          <w:b w:val="0"/>
          <w:bCs w:val="0"/>
          <w:color w:val="auto"/>
          <w:sz w:val="32"/>
          <w:szCs w:val="32"/>
          <w:highlight w:val="none"/>
          <w:lang w:val="en-US" w:eastAsia="zh-CN"/>
        </w:rPr>
      </w:pPr>
      <w:r>
        <w:rPr>
          <w:rFonts w:hint="default" w:ascii="Times New Roman" w:hAnsi="Times New Roman" w:eastAsia="仿宋_GB2312" w:cs="Times New Roman"/>
          <w:b w:val="0"/>
          <w:bCs w:val="0"/>
          <w:color w:val="auto"/>
          <w:sz w:val="32"/>
          <w:szCs w:val="32"/>
          <w:highlight w:val="none"/>
          <w:lang w:val="en-US" w:eastAsia="zh-CN"/>
        </w:rPr>
        <w:t>2.6.7新型智能生物材料及个性化植入产品应用 (技术开发-重点项目)</w:t>
      </w:r>
    </w:p>
    <w:p>
      <w:pPr>
        <w:keepNext w:val="0"/>
        <w:keepLines w:val="0"/>
        <w:pageBreakBefore w:val="0"/>
        <w:kinsoku/>
        <w:wordWrap/>
        <w:overflowPunct/>
        <w:topLinePunct w:val="0"/>
        <w:autoSpaceDE/>
        <w:autoSpaceDN/>
        <w:bidi w:val="0"/>
        <w:adjustRightInd/>
        <w:snapToGrid/>
        <w:spacing w:line="560" w:lineRule="exact"/>
        <w:ind w:firstLine="640" w:firstLineChars="200"/>
        <w:rPr>
          <w:rFonts w:hint="default" w:ascii="Times New Roman" w:hAnsi="Times New Roman" w:eastAsia="仿宋_GB2312" w:cs="Times New Roman"/>
          <w:i w:val="0"/>
          <w:iCs w:val="0"/>
          <w:caps w:val="0"/>
          <w:color w:val="auto"/>
          <w:spacing w:val="0"/>
          <w:sz w:val="32"/>
          <w:szCs w:val="32"/>
          <w:shd w:val="clear" w:fill="FFFFFF"/>
          <w:vertAlign w:val="baseline"/>
        </w:rPr>
      </w:pPr>
      <w:r>
        <w:rPr>
          <w:rFonts w:hint="default" w:ascii="Times New Roman" w:hAnsi="Times New Roman" w:eastAsia="仿宋_GB2312" w:cs="Times New Roman"/>
          <w:b w:val="0"/>
          <w:bCs w:val="0"/>
          <w:color w:val="auto"/>
          <w:sz w:val="32"/>
          <w:szCs w:val="32"/>
          <w:highlight w:val="none"/>
          <w:lang w:val="en-US" w:eastAsia="zh-CN"/>
        </w:rPr>
        <w:t>2.6.8全营养、特殊病理时期的医学食品研发 (技术开发-重点项目)</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8833502-0FCB-4F26-AD0F-8B7BEF3F973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2" w:fontKey="{4B0E43C6-1480-4137-8406-E579934CE961}"/>
  </w:font>
  <w:font w:name="楷体_GB2312">
    <w:panose1 w:val="02010609030101010101"/>
    <w:charset w:val="86"/>
    <w:family w:val="auto"/>
    <w:pitch w:val="default"/>
    <w:sig w:usb0="00000001" w:usb1="080E0000" w:usb2="00000000" w:usb3="00000000" w:csb0="00040000" w:csb1="00000000"/>
    <w:embedRegular r:id="rId3" w:fontKey="{2E561E88-B233-41E2-B774-1223EC5127BF}"/>
  </w:font>
  <w:font w:name="微软雅黑">
    <w:panose1 w:val="020B0503020204020204"/>
    <w:charset w:val="86"/>
    <w:family w:val="auto"/>
    <w:pitch w:val="default"/>
    <w:sig w:usb0="80000287" w:usb1="280F3C52" w:usb2="00000016" w:usb3="00000000" w:csb0="0004001F" w:csb1="00000000"/>
  </w:font>
  <w:font w:name="华文中宋">
    <w:panose1 w:val="02010600040101010101"/>
    <w:charset w:val="86"/>
    <w:family w:val="auto"/>
    <w:pitch w:val="default"/>
    <w:sig w:usb0="00000287" w:usb1="080F0000" w:usb2="00000000" w:usb3="00000000" w:csb0="0004009F" w:csb1="DFD70000"/>
    <w:embedRegular r:id="rId4" w:fontKey="{80B63D43-5D1D-4DD7-87CC-87A38A350653}"/>
  </w:font>
  <w:font w:name="方正小标宋简体">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B2881EA"/>
    <w:multiLevelType w:val="singleLevel"/>
    <w:tmpl w:val="6B2881EA"/>
    <w:lvl w:ilvl="0" w:tentative="0">
      <w:start w:val="1"/>
      <w:numFmt w:val="bullet"/>
      <w:pStyle w:val="7"/>
      <w:lvlText w:val=""/>
      <w:lvlJc w:val="left"/>
      <w:pPr>
        <w:tabs>
          <w:tab w:val="left" w:pos="360"/>
        </w:tabs>
        <w:ind w:left="360" w:hanging="360"/>
        <w:textAlignment w:val="baseline"/>
      </w:pPr>
      <w:rPr>
        <w:rFonts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EzNzczYTdjMjQ3MjM0MWNkZTViZTRiMDA5MmU1YzEifQ=="/>
  </w:docVars>
  <w:rsids>
    <w:rsidRoot w:val="00000000"/>
    <w:rsid w:val="0066082D"/>
    <w:rsid w:val="020F51DC"/>
    <w:rsid w:val="02C679DF"/>
    <w:rsid w:val="03404493"/>
    <w:rsid w:val="041C74EE"/>
    <w:rsid w:val="044E68D9"/>
    <w:rsid w:val="05DD06BF"/>
    <w:rsid w:val="068F42F9"/>
    <w:rsid w:val="07BB15CF"/>
    <w:rsid w:val="088A4403"/>
    <w:rsid w:val="089E4AB6"/>
    <w:rsid w:val="08AC1732"/>
    <w:rsid w:val="0B7B329D"/>
    <w:rsid w:val="0BA96710"/>
    <w:rsid w:val="0C336D77"/>
    <w:rsid w:val="0DAF0B93"/>
    <w:rsid w:val="0FB13D22"/>
    <w:rsid w:val="10F7015B"/>
    <w:rsid w:val="12744159"/>
    <w:rsid w:val="139D7F0F"/>
    <w:rsid w:val="13E56991"/>
    <w:rsid w:val="13E86F75"/>
    <w:rsid w:val="14103A0E"/>
    <w:rsid w:val="149D2C4F"/>
    <w:rsid w:val="15945CB1"/>
    <w:rsid w:val="16A50D85"/>
    <w:rsid w:val="17626C76"/>
    <w:rsid w:val="1877066F"/>
    <w:rsid w:val="18846779"/>
    <w:rsid w:val="190E6F1E"/>
    <w:rsid w:val="1C444FD0"/>
    <w:rsid w:val="1DFF240A"/>
    <w:rsid w:val="1F32080D"/>
    <w:rsid w:val="20580C17"/>
    <w:rsid w:val="20F070A1"/>
    <w:rsid w:val="23690BFC"/>
    <w:rsid w:val="23694EE9"/>
    <w:rsid w:val="23FC34CB"/>
    <w:rsid w:val="2483373B"/>
    <w:rsid w:val="26467BE7"/>
    <w:rsid w:val="26BE1A0F"/>
    <w:rsid w:val="28DC6918"/>
    <w:rsid w:val="2AA9206F"/>
    <w:rsid w:val="2AEA4C6C"/>
    <w:rsid w:val="2B2A31B0"/>
    <w:rsid w:val="2B473D61"/>
    <w:rsid w:val="2B9669FF"/>
    <w:rsid w:val="2BDE4841"/>
    <w:rsid w:val="2D2E0C20"/>
    <w:rsid w:val="2DD01D90"/>
    <w:rsid w:val="2E206AEC"/>
    <w:rsid w:val="2EA96AE1"/>
    <w:rsid w:val="2F477220"/>
    <w:rsid w:val="2FC17E5A"/>
    <w:rsid w:val="30450A8C"/>
    <w:rsid w:val="30703D5A"/>
    <w:rsid w:val="30F31223"/>
    <w:rsid w:val="31885AE5"/>
    <w:rsid w:val="328C4750"/>
    <w:rsid w:val="329A3521"/>
    <w:rsid w:val="330F418B"/>
    <w:rsid w:val="34E40873"/>
    <w:rsid w:val="35494B7A"/>
    <w:rsid w:val="370E7E29"/>
    <w:rsid w:val="390F4694"/>
    <w:rsid w:val="3AC30F2B"/>
    <w:rsid w:val="3C660B8A"/>
    <w:rsid w:val="3EFC4A0B"/>
    <w:rsid w:val="3F8C5D8F"/>
    <w:rsid w:val="42981B96"/>
    <w:rsid w:val="467127B9"/>
    <w:rsid w:val="46C978C9"/>
    <w:rsid w:val="4C0878C1"/>
    <w:rsid w:val="4D4B7289"/>
    <w:rsid w:val="4D73058E"/>
    <w:rsid w:val="4F701171"/>
    <w:rsid w:val="50053F83"/>
    <w:rsid w:val="508605D9"/>
    <w:rsid w:val="51E85FCC"/>
    <w:rsid w:val="520E4374"/>
    <w:rsid w:val="558607D9"/>
    <w:rsid w:val="562E53D4"/>
    <w:rsid w:val="59B241EC"/>
    <w:rsid w:val="5AC848FC"/>
    <w:rsid w:val="5C05719D"/>
    <w:rsid w:val="5D7548E6"/>
    <w:rsid w:val="5D763D6A"/>
    <w:rsid w:val="5DAF5613"/>
    <w:rsid w:val="5FE33B6C"/>
    <w:rsid w:val="611B27CF"/>
    <w:rsid w:val="61251748"/>
    <w:rsid w:val="61845092"/>
    <w:rsid w:val="623E72F9"/>
    <w:rsid w:val="648614BB"/>
    <w:rsid w:val="64D622E3"/>
    <w:rsid w:val="66AF0431"/>
    <w:rsid w:val="696B7548"/>
    <w:rsid w:val="69A41627"/>
    <w:rsid w:val="69C51D1A"/>
    <w:rsid w:val="6BAF67DE"/>
    <w:rsid w:val="6C11470E"/>
    <w:rsid w:val="6E843F52"/>
    <w:rsid w:val="6EAE5472"/>
    <w:rsid w:val="6EF40E7C"/>
    <w:rsid w:val="6F123351"/>
    <w:rsid w:val="6F215C44"/>
    <w:rsid w:val="71B763EC"/>
    <w:rsid w:val="71C034F3"/>
    <w:rsid w:val="72253C9E"/>
    <w:rsid w:val="730B69EF"/>
    <w:rsid w:val="733F48EB"/>
    <w:rsid w:val="75937C94"/>
    <w:rsid w:val="75EB6D73"/>
    <w:rsid w:val="75F32CB3"/>
    <w:rsid w:val="765924F6"/>
    <w:rsid w:val="77131613"/>
    <w:rsid w:val="776F16CC"/>
    <w:rsid w:val="79DB0D59"/>
    <w:rsid w:val="7AA54114"/>
    <w:rsid w:val="7B4F5DDC"/>
    <w:rsid w:val="7E0B01EB"/>
    <w:rsid w:val="7E297C37"/>
    <w:rsid w:val="7E5B2C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iPriority="99"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spacing w:before="240" w:after="60"/>
      <w:jc w:val="center"/>
      <w:outlineLvl w:val="0"/>
    </w:pPr>
    <w:rPr>
      <w:rFonts w:ascii="Arial" w:hAnsi="Arial"/>
      <w:b/>
    </w:rPr>
  </w:style>
  <w:style w:type="paragraph" w:styleId="4">
    <w:name w:val="Body Text"/>
    <w:basedOn w:val="1"/>
    <w:next w:val="5"/>
    <w:qFormat/>
    <w:uiPriority w:val="0"/>
    <w:rPr>
      <w:rFonts w:ascii="Times New Roman" w:hAnsi="Times New Roman" w:cs="Times New Roman"/>
    </w:rPr>
  </w:style>
  <w:style w:type="paragraph" w:styleId="5">
    <w:name w:val="index 7"/>
    <w:basedOn w:val="1"/>
    <w:next w:val="1"/>
    <w:semiHidden/>
    <w:unhideWhenUsed/>
    <w:qFormat/>
    <w:uiPriority w:val="99"/>
    <w:pPr>
      <w:ind w:left="1200" w:leftChars="1200"/>
    </w:pPr>
  </w:style>
  <w:style w:type="paragraph" w:styleId="6">
    <w:name w:val="footer"/>
    <w:basedOn w:val="1"/>
    <w:next w:val="7"/>
    <w:qFormat/>
    <w:uiPriority w:val="0"/>
    <w:pPr>
      <w:tabs>
        <w:tab w:val="center" w:pos="4153"/>
        <w:tab w:val="right" w:pos="8306"/>
      </w:tabs>
      <w:snapToGrid w:val="0"/>
      <w:jc w:val="left"/>
    </w:pPr>
    <w:rPr>
      <w:sz w:val="18"/>
      <w:szCs w:val="18"/>
    </w:rPr>
  </w:style>
  <w:style w:type="paragraph" w:customStyle="1" w:styleId="7">
    <w:name w:val="ListBullet"/>
    <w:basedOn w:val="1"/>
    <w:qFormat/>
    <w:uiPriority w:val="0"/>
    <w:pPr>
      <w:numPr>
        <w:ilvl w:val="0"/>
        <w:numId w:val="1"/>
      </w:numPr>
    </w:pPr>
  </w:style>
  <w:style w:type="paragraph" w:styleId="8">
    <w:name w:val="header"/>
    <w:basedOn w:val="1"/>
    <w:next w:val="6"/>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12">
    <w:name w:val="正文首行缩进1"/>
    <w:basedOn w:val="4"/>
    <w:next w:val="8"/>
    <w:qFormat/>
    <w:uiPriority w:val="0"/>
    <w:pPr>
      <w:spacing w:line="588" w:lineRule="exact"/>
      <w:ind w:firstLine="200" w:firstLineChars="200"/>
    </w:pPr>
  </w:style>
  <w:style w:type="paragraph" w:customStyle="1" w:styleId="13">
    <w:name w:val="Table Paragraph"/>
    <w:basedOn w:val="1"/>
    <w:qFormat/>
    <w:uiPriority w:val="1"/>
    <w:pPr>
      <w:spacing w:before="20"/>
      <w:ind w:left="107"/>
    </w:pPr>
    <w:rPr>
      <w:rFonts w:ascii="仿宋" w:hAnsi="仿宋" w:eastAsia="仿宋" w:cs="仿宋"/>
      <w:lang w:val="zh-CN" w:eastAsia="zh-CN" w:bidi="zh-CN"/>
    </w:rPr>
  </w:style>
  <w:style w:type="character" w:customStyle="1" w:styleId="14">
    <w:name w:val="font21"/>
    <w:basedOn w:val="11"/>
    <w:qFormat/>
    <w:uiPriority w:val="0"/>
    <w:rPr>
      <w:rFonts w:ascii="仿宋_GB2312" w:eastAsia="仿宋_GB2312" w:cs="仿宋_GB2312"/>
      <w:color w:val="FF0000"/>
      <w:sz w:val="32"/>
      <w:szCs w:val="3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29</Pages>
  <Words>12747</Words>
  <Characters>13850</Characters>
  <Lines>0</Lines>
  <Paragraphs>0</Paragraphs>
  <TotalTime>4</TotalTime>
  <ScaleCrop>false</ScaleCrop>
  <LinksUpToDate>false</LinksUpToDate>
  <CharactersWithSpaces>14220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2022-09-01T22:17:00Z</dcterms:created>
  <dc:creator>Administrator</dc:creator>
  <cp:lastModifiedBy>深百尺</cp:lastModifiedBy>
  <cp:lastPrinted>2022-09-07T09:31:00Z</cp:lastPrinted>
  <dcterms:modified xsi:type="dcterms:W3CDTF">2022-09-07T11:38:26Z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EB2D350491A44D6F93F7B69D1399BF30</vt:lpwstr>
  </property>
</Properties>
</file>