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2"/>
          <w:szCs w:val="32"/>
          <w:lang w:eastAsia="zh-CN"/>
        </w:rPr>
      </w:pPr>
      <w:r>
        <w:rPr>
          <w:rFonts w:hint="eastAsia" w:ascii="黑体" w:hAnsi="黑体" w:eastAsia="黑体"/>
          <w:sz w:val="32"/>
          <w:szCs w:val="32"/>
          <w:lang w:eastAsia="zh-CN"/>
        </w:rPr>
        <w:drawing>
          <wp:inline distT="0" distB="0" distL="114300" distR="114300">
            <wp:extent cx="5609590" cy="4492625"/>
            <wp:effectExtent l="0" t="0" r="10160" b="3175"/>
            <wp:docPr id="1" name="图片 1" descr="16527535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2753527(1)"/>
                    <pic:cNvPicPr>
                      <a:picLocks noChangeAspect="1"/>
                    </pic:cNvPicPr>
                  </pic:nvPicPr>
                  <pic:blipFill>
                    <a:blip r:embed="rId6"/>
                    <a:stretch>
                      <a:fillRect/>
                    </a:stretch>
                  </pic:blipFill>
                  <pic:spPr>
                    <a:xfrm>
                      <a:off x="0" y="0"/>
                      <a:ext cx="5609590" cy="4492625"/>
                    </a:xfrm>
                    <a:prstGeom prst="rect">
                      <a:avLst/>
                    </a:prstGeom>
                  </pic:spPr>
                </pic:pic>
              </a:graphicData>
            </a:graphic>
          </wp:inline>
        </w:drawing>
      </w:r>
    </w:p>
    <w:p>
      <w:pPr>
        <w:rPr>
          <w:rFonts w:hint="eastAsia" w:ascii="黑体" w:hAnsi="黑体" w:eastAsia="黑体"/>
          <w:sz w:val="32"/>
          <w:szCs w:val="32"/>
          <w:lang w:eastAsia="zh-CN"/>
        </w:rPr>
      </w:pPr>
    </w:p>
    <w:p>
      <w:pPr>
        <w:rPr>
          <w:rFonts w:hint="eastAsia" w:ascii="黑体" w:hAnsi="黑体" w:eastAsia="黑体"/>
          <w:sz w:val="32"/>
          <w:szCs w:val="32"/>
          <w:lang w:eastAsia="zh-CN"/>
        </w:rPr>
      </w:pPr>
    </w:p>
    <w:p>
      <w:pPr>
        <w:rPr>
          <w:rFonts w:hint="eastAsia" w:ascii="黑体" w:hAnsi="黑体" w:eastAsia="黑体"/>
          <w:sz w:val="32"/>
          <w:szCs w:val="32"/>
          <w:lang w:eastAsia="zh-CN"/>
        </w:rPr>
      </w:pPr>
    </w:p>
    <w:p>
      <w:pPr>
        <w:rPr>
          <w:rFonts w:hint="eastAsia" w:ascii="黑体" w:hAnsi="黑体" w:eastAsia="黑体"/>
          <w:sz w:val="32"/>
          <w:szCs w:val="32"/>
          <w:lang w:eastAsia="zh-CN"/>
        </w:rPr>
      </w:pPr>
    </w:p>
    <w:p>
      <w:pPr>
        <w:rPr>
          <w:rFonts w:hint="eastAsia" w:ascii="黑体" w:hAnsi="黑体" w:eastAsia="黑体"/>
          <w:sz w:val="32"/>
          <w:szCs w:val="32"/>
          <w:lang w:eastAsia="zh-CN"/>
        </w:rPr>
      </w:pPr>
    </w:p>
    <w:p>
      <w:pPr>
        <w:rPr>
          <w:rFonts w:hint="eastAsia" w:ascii="黑体" w:hAnsi="黑体" w:eastAsia="黑体"/>
          <w:sz w:val="32"/>
          <w:szCs w:val="32"/>
          <w:lang w:eastAsia="zh-CN"/>
        </w:rPr>
      </w:pPr>
    </w:p>
    <w:p>
      <w:pPr>
        <w:rPr>
          <w:rFonts w:hint="eastAsia" w:ascii="黑体" w:hAnsi="黑体" w:eastAsia="黑体"/>
          <w:sz w:val="32"/>
          <w:szCs w:val="32"/>
          <w:lang w:eastAsia="zh-CN"/>
        </w:rPr>
      </w:pPr>
    </w:p>
    <w:p>
      <w:pPr>
        <w:rPr>
          <w:rFonts w:hint="eastAsia" w:ascii="黑体" w:hAnsi="黑体" w:eastAsia="黑体"/>
          <w:sz w:val="32"/>
          <w:szCs w:val="32"/>
          <w:lang w:eastAsia="zh-CN"/>
        </w:rPr>
      </w:pPr>
    </w:p>
    <w:p>
      <w:pPr>
        <w:rPr>
          <w:rFonts w:hint="eastAsia" w:ascii="黑体" w:hAnsi="黑体" w:eastAsia="黑体"/>
          <w:sz w:val="32"/>
          <w:szCs w:val="32"/>
          <w:lang w:eastAsia="zh-CN"/>
        </w:rPr>
      </w:pPr>
    </w:p>
    <w:p>
      <w:pPr>
        <w:rPr>
          <w:rFonts w:hint="eastAsia" w:ascii="黑体" w:hAnsi="黑体" w:eastAsia="黑体"/>
          <w:sz w:val="32"/>
          <w:szCs w:val="32"/>
          <w:lang w:eastAsia="zh-CN"/>
        </w:rPr>
      </w:pPr>
      <w:bookmarkStart w:id="0" w:name="_GoBack"/>
      <w:bookmarkEnd w:id="0"/>
    </w:p>
    <w:p>
      <w:pPr>
        <w:rPr>
          <w:rFonts w:hint="eastAsia" w:ascii="黑体" w:hAnsi="黑体" w:eastAsia="黑体"/>
          <w:sz w:val="32"/>
          <w:szCs w:val="32"/>
        </w:rPr>
      </w:pPr>
      <w:r>
        <w:rPr>
          <w:rFonts w:hint="eastAsia" w:ascii="黑体" w:hAnsi="黑体" w:eastAsia="黑体"/>
          <w:sz w:val="32"/>
          <w:szCs w:val="32"/>
        </w:rPr>
        <w:t>附件：</w:t>
      </w:r>
    </w:p>
    <w:p>
      <w:pPr>
        <w:widowControl/>
        <w:shd w:val="clear" w:color="auto" w:fill="FFFFFF"/>
        <w:adjustRightInd w:val="0"/>
        <w:snapToGrid w:val="0"/>
        <w:spacing w:line="700" w:lineRule="exact"/>
        <w:jc w:val="center"/>
        <w:outlineLvl w:val="1"/>
        <w:rPr>
          <w:rFonts w:hint="eastAsia" w:ascii="方正小标宋简体" w:hAnsi="黑体" w:eastAsia="方正小标宋简体" w:cs="宋体"/>
          <w:bCs/>
          <w:kern w:val="0"/>
          <w:sz w:val="44"/>
          <w:szCs w:val="44"/>
        </w:rPr>
      </w:pPr>
      <w:r>
        <w:rPr>
          <w:rFonts w:hint="eastAsia" w:ascii="方正小标宋简体" w:hAnsi="黑体" w:eastAsia="方正小标宋简体" w:cs="宋体"/>
          <w:bCs/>
          <w:kern w:val="0"/>
          <w:sz w:val="44"/>
          <w:szCs w:val="44"/>
        </w:rPr>
        <w:t>齐齐哈尔医学院关于修订</w:t>
      </w:r>
    </w:p>
    <w:p>
      <w:pPr>
        <w:widowControl/>
        <w:shd w:val="clear" w:color="auto" w:fill="FFFFFF"/>
        <w:adjustRightInd w:val="0"/>
        <w:snapToGrid w:val="0"/>
        <w:spacing w:line="700" w:lineRule="exact"/>
        <w:jc w:val="center"/>
        <w:outlineLvl w:val="1"/>
        <w:rPr>
          <w:rFonts w:hint="eastAsia" w:ascii="方正小标宋简体" w:hAnsi="黑体" w:eastAsia="方正小标宋简体" w:cs="宋体"/>
          <w:bCs/>
          <w:kern w:val="0"/>
          <w:sz w:val="44"/>
          <w:szCs w:val="44"/>
        </w:rPr>
      </w:pPr>
      <w:r>
        <w:rPr>
          <w:rFonts w:hint="eastAsia" w:ascii="方正小标宋简体" w:hAnsi="黑体" w:eastAsia="方正小标宋简体" w:cs="宋体"/>
          <w:bCs/>
          <w:kern w:val="0"/>
          <w:sz w:val="44"/>
          <w:szCs w:val="44"/>
        </w:rPr>
        <w:t>统招本科人才培养方案的指导意见</w:t>
      </w:r>
    </w:p>
    <w:p>
      <w:pPr>
        <w:rPr>
          <w:rFonts w:hint="eastAsia"/>
        </w:rPr>
      </w:pPr>
    </w:p>
    <w:p>
      <w:pPr>
        <w:ind w:firstLine="640" w:firstLineChars="200"/>
        <w:rPr>
          <w:rFonts w:hint="eastAsia" w:ascii="仿宋_GB2312" w:eastAsia="仿宋_GB2312"/>
          <w:sz w:val="32"/>
          <w:szCs w:val="32"/>
        </w:rPr>
      </w:pPr>
      <w:r>
        <w:rPr>
          <w:rFonts w:hint="eastAsia" w:ascii="仿宋_GB2312" w:eastAsia="仿宋_GB2312"/>
          <w:kern w:val="0"/>
          <w:sz w:val="32"/>
          <w:szCs w:val="32"/>
        </w:rPr>
        <w:t>为深入贯彻党的十九大及十九届历次全会精神，落实全国教育大会、全国思想政治工作会议、新时代全国高等学校本科教育工作会议精神，按照教育部</w:t>
      </w:r>
      <w:r>
        <w:rPr>
          <w:rFonts w:hint="eastAsia" w:ascii="仿宋_GB2312" w:eastAsia="仿宋_GB2312"/>
          <w:sz w:val="32"/>
          <w:szCs w:val="32"/>
        </w:rPr>
        <w:t>《关于加快建设高水平本科教育 全面提高人才培养能力的意见》《关于加强医教协同实施卓越医生教育培养计划2.0的意见》</w:t>
      </w:r>
      <w:r>
        <w:rPr>
          <w:rFonts w:hint="eastAsia" w:ascii="仿宋_GB2312" w:eastAsia="仿宋_GB2312"/>
          <w:kern w:val="0"/>
          <w:sz w:val="32"/>
          <w:szCs w:val="32"/>
        </w:rPr>
        <w:t>《关于深化本科教育教学改革全面提高人才培养质量的意见》《关于加快医学教育创新发展的指导意见》《“健康中国2030”规划纲要》，国务院办公厅《关于深化高等学校创新创业教育改革的实施意见》，黑龙江省教育厅《关于引导地方普通本科高等学校向应用型转变的实施方案》等精神和</w:t>
      </w:r>
      <w:r>
        <w:rPr>
          <w:rFonts w:hint="eastAsia" w:ascii="仿宋_GB2312" w:eastAsia="仿宋_GB2312"/>
          <w:sz w:val="32"/>
          <w:szCs w:val="32"/>
        </w:rPr>
        <w:t>《齐齐哈尔医学院“十四五”发展规划》</w:t>
      </w:r>
      <w:r>
        <w:rPr>
          <w:rFonts w:hint="eastAsia" w:ascii="仿宋_GB2312" w:eastAsia="仿宋_GB2312"/>
          <w:kern w:val="0"/>
          <w:sz w:val="32"/>
          <w:szCs w:val="32"/>
        </w:rPr>
        <w:t>《学院一流本科教育建设规划（2019-2023）》</w:t>
      </w:r>
      <w:r>
        <w:rPr>
          <w:rFonts w:hint="eastAsia" w:ascii="仿宋_GB2312" w:eastAsia="仿宋_GB2312"/>
          <w:sz w:val="32"/>
          <w:szCs w:val="32"/>
        </w:rPr>
        <w:t>及</w:t>
      </w:r>
      <w:r>
        <w:rPr>
          <w:rFonts w:hint="eastAsia" w:ascii="仿宋_GB2312" w:eastAsia="仿宋_GB2312"/>
          <w:kern w:val="0"/>
          <w:sz w:val="32"/>
          <w:szCs w:val="32"/>
        </w:rPr>
        <w:t>《学院特色应用型本科示范高校建设规划》关于推进本科人才培养模式改革，着力提高人才培养质量的意见和要求，遵从《普通高等学校本科专业类教学质量国家标准》（以下简称国标），以及专业认证、国家级一流本科专业建设点验收、新一轮审核评估要求、“双论证”专家反馈意见、后疫情时代对医药卫生人才的知识体系与能力需求，结合学院建设服务区域发展、国内知名、特色鲜明的高等医学院校的目标定位，完善高素质应用型创新人才培养体系，切实提高人才培养质</w:t>
      </w:r>
      <w:r>
        <w:rPr>
          <w:rFonts w:hint="eastAsia" w:ascii="仿宋_GB2312" w:eastAsia="仿宋_GB2312"/>
          <w:sz w:val="32"/>
          <w:szCs w:val="32"/>
        </w:rPr>
        <w:t>量，现对2022级统招本科人才培养方案修订工作提出意见。</w:t>
      </w:r>
    </w:p>
    <w:p>
      <w:pPr>
        <w:ind w:firstLine="640" w:firstLineChars="200"/>
        <w:rPr>
          <w:rFonts w:hint="eastAsia" w:ascii="黑体" w:hAnsi="黑体" w:eastAsia="黑体"/>
          <w:sz w:val="32"/>
          <w:szCs w:val="32"/>
        </w:rPr>
      </w:pPr>
      <w:r>
        <w:rPr>
          <w:rFonts w:hint="eastAsia" w:ascii="黑体" w:hAnsi="黑体" w:eastAsia="黑体"/>
          <w:sz w:val="32"/>
          <w:szCs w:val="32"/>
        </w:rPr>
        <w:t>一、指导思想</w:t>
      </w:r>
    </w:p>
    <w:p>
      <w:pPr>
        <w:ind w:firstLine="640" w:firstLineChars="200"/>
        <w:rPr>
          <w:rFonts w:hint="eastAsia" w:ascii="仿宋_GB2312" w:eastAsia="仿宋_GB2312"/>
          <w:sz w:val="32"/>
          <w:szCs w:val="32"/>
        </w:rPr>
      </w:pPr>
      <w:r>
        <w:rPr>
          <w:rFonts w:hint="eastAsia" w:ascii="仿宋_GB2312" w:eastAsia="仿宋_GB2312"/>
          <w:sz w:val="32"/>
          <w:szCs w:val="32"/>
        </w:rPr>
        <w:t>以习近平新时代中国特色社会主义思想为指导，全面贯彻党的教育方针，遵循高等教育教学规律和人才成长规律，紧密对接国家战略和区域发展需要，以“四新”为引领，坚持立德树人根本任务，坚持“以学生发展为中心、产出导向、持续改进”人才培养理念，落实“以本为本”，推进“四个回归”，将思想政治教育融入人才培养全过程，以社会需求和岗位胜任力为导向，构建通识教育与专业教育相统一、理论教学与实践教学相结合、知识传授与能力培养相促进、人文教育与科学教育相融合、共性要求与个性发展相补充的人才培养体系，进一步深化教育教学改革，强化实践能力培养，培养德智体美劳全面发展的高素质应用型医药卫生人才。</w:t>
      </w:r>
    </w:p>
    <w:p>
      <w:pPr>
        <w:ind w:firstLine="640" w:firstLineChars="200"/>
        <w:rPr>
          <w:rFonts w:hint="eastAsia" w:ascii="黑体" w:hAnsi="黑体" w:eastAsia="黑体"/>
          <w:sz w:val="32"/>
          <w:szCs w:val="32"/>
        </w:rPr>
      </w:pPr>
      <w:r>
        <w:rPr>
          <w:rFonts w:hint="eastAsia" w:ascii="黑体" w:hAnsi="黑体" w:eastAsia="黑体"/>
          <w:sz w:val="32"/>
          <w:szCs w:val="32"/>
        </w:rPr>
        <w:t>二、基本原则</w:t>
      </w:r>
    </w:p>
    <w:p>
      <w:pPr>
        <w:widowControl/>
        <w:adjustRightInd w:val="0"/>
        <w:snapToGrid w:val="0"/>
        <w:spacing w:line="360" w:lineRule="auto"/>
        <w:ind w:firstLine="643" w:firstLineChars="200"/>
        <w:jc w:val="left"/>
        <w:rPr>
          <w:rFonts w:hint="eastAsia" w:ascii="楷体_GB2312" w:hAnsi="楷体" w:eastAsia="楷体_GB2312" w:cs="宋体"/>
          <w:b/>
          <w:sz w:val="32"/>
          <w:szCs w:val="32"/>
        </w:rPr>
      </w:pPr>
      <w:r>
        <w:rPr>
          <w:rFonts w:hint="eastAsia" w:ascii="楷体_GB2312" w:hAnsi="楷体" w:eastAsia="楷体_GB2312" w:cs="宋体"/>
          <w:b/>
          <w:sz w:val="32"/>
          <w:szCs w:val="32"/>
        </w:rPr>
        <w:t>（一）坚持立德树人，突显“五育”并举</w:t>
      </w:r>
    </w:p>
    <w:p>
      <w:pPr>
        <w:widowControl/>
        <w:adjustRightInd w:val="0"/>
        <w:snapToGrid w:val="0"/>
        <w:spacing w:line="360" w:lineRule="auto"/>
        <w:ind w:firstLine="640" w:firstLineChars="200"/>
        <w:rPr>
          <w:rFonts w:hint="eastAsia" w:ascii="仿宋_GB2312" w:hAnsi="楷体" w:eastAsia="仿宋_GB2312" w:cs="宋体"/>
          <w:sz w:val="32"/>
          <w:szCs w:val="32"/>
        </w:rPr>
      </w:pPr>
      <w:r>
        <w:rPr>
          <w:rFonts w:hint="eastAsia" w:ascii="仿宋_GB2312" w:hAnsi="楷体" w:eastAsia="仿宋_GB2312" w:cs="宋体"/>
          <w:sz w:val="32"/>
          <w:szCs w:val="32"/>
        </w:rPr>
        <w:t>围绕立德树人根本任务，坚持“育人为本，德育为先”，坚持显性教育和隐性教育相统一，明确“课程思政”目标，把立德树人融入人才培养全过程，实现思政理论、通识教育、专业教育、实践教学全方位育人格局。构建德智体美劳全面发展的新时代课程体系，围绕人才培养目标，发挥通识教育价值引领功能，全面提升学生的人文修养、科学精神、批判思维、沟通表达能力、体育素质及身心素质，强化通识教育与专业教育、第一课堂和第二课堂相互融合的劳育、美育教育，实现学生全面发展。</w:t>
      </w:r>
    </w:p>
    <w:p>
      <w:pPr>
        <w:pStyle w:val="8"/>
        <w:adjustRightInd w:val="0"/>
        <w:snapToGrid w:val="0"/>
        <w:spacing w:line="360" w:lineRule="auto"/>
        <w:ind w:firstLine="643" w:firstLineChars="200"/>
        <w:rPr>
          <w:rFonts w:hint="eastAsia" w:ascii="楷体_GB2312" w:hAnsi="楷体" w:eastAsia="楷体_GB2312"/>
          <w:b/>
          <w:sz w:val="32"/>
          <w:szCs w:val="32"/>
        </w:rPr>
      </w:pPr>
      <w:r>
        <w:rPr>
          <w:rFonts w:hint="eastAsia" w:ascii="楷体_GB2312" w:hAnsi="楷体" w:eastAsia="楷体_GB2312"/>
          <w:b/>
          <w:sz w:val="32"/>
          <w:szCs w:val="32"/>
        </w:rPr>
        <w:t>（二）坚持产出导向，突显专业特色</w:t>
      </w:r>
    </w:p>
    <w:p>
      <w:pPr>
        <w:pStyle w:val="8"/>
        <w:adjustRightInd w:val="0"/>
        <w:snapToGrid w:val="0"/>
        <w:spacing w:line="360" w:lineRule="auto"/>
        <w:ind w:firstLine="640" w:firstLineChars="200"/>
        <w:rPr>
          <w:rFonts w:hint="eastAsia" w:ascii="仿宋_GB2312" w:hAnsi="楷体" w:eastAsia="仿宋_GB2312" w:cs="宋体"/>
          <w:sz w:val="32"/>
          <w:szCs w:val="32"/>
        </w:rPr>
      </w:pPr>
      <w:r>
        <w:rPr>
          <w:rFonts w:hint="eastAsia" w:ascii="仿宋_GB2312" w:hAnsi="楷体" w:eastAsia="仿宋_GB2312" w:cs="宋体"/>
          <w:sz w:val="32"/>
          <w:szCs w:val="32"/>
        </w:rPr>
        <w:t>基于学习成果导向（Outcome～Based Education ，OBE）人才培养理念，坚持产出导向，瞄准区域经济社会发展及行业产业发展需求，围绕学院总体定位和发展目标，结合国家级、省级一流本科专业建设要求，坚持人才培养方案与《国标》、专业认证、审核评估等各类标准有效对接，科学合理确定专业人才培养定位和目标，以此确定专业毕业要求，并以毕业要求为目标，合理构建人才培养课程体系，建立课程、毕业要求和培养目标之间的支撑关系矩阵，提高人才培养与区域经济社会发展的适应度。</w:t>
      </w:r>
      <w:r>
        <w:rPr>
          <w:rFonts w:hint="eastAsia" w:eastAsia="仿宋_GB2312"/>
          <w:kern w:val="0"/>
          <w:sz w:val="32"/>
          <w:szCs w:val="32"/>
        </w:rPr>
        <w:t>可</w:t>
      </w:r>
      <w:r>
        <w:rPr>
          <w:rFonts w:eastAsia="仿宋_GB2312"/>
          <w:sz w:val="32"/>
          <w:szCs w:val="32"/>
        </w:rPr>
        <w:t>根据经济社会需求和学生个性发展需要设置专业方向模块，开设与本专业特色发展吻合，与学生全面发展相适应的个性化课程</w:t>
      </w:r>
      <w:r>
        <w:rPr>
          <w:rFonts w:eastAsia="仿宋_GB2312"/>
          <w:kern w:val="0"/>
          <w:sz w:val="32"/>
          <w:szCs w:val="32"/>
        </w:rPr>
        <w:t>，构建特色鲜明的人才培养模式</w:t>
      </w:r>
      <w:r>
        <w:rPr>
          <w:rFonts w:eastAsia="仿宋_GB2312"/>
          <w:sz w:val="32"/>
          <w:szCs w:val="32"/>
        </w:rPr>
        <w:t>。</w:t>
      </w:r>
    </w:p>
    <w:p>
      <w:pPr>
        <w:pStyle w:val="8"/>
        <w:adjustRightInd w:val="0"/>
        <w:snapToGrid w:val="0"/>
        <w:spacing w:line="360" w:lineRule="auto"/>
        <w:ind w:firstLine="643" w:firstLineChars="200"/>
        <w:rPr>
          <w:rFonts w:hint="eastAsia" w:ascii="楷体_GB2312" w:hAnsi="楷体" w:eastAsia="楷体_GB2312"/>
          <w:b/>
          <w:sz w:val="32"/>
          <w:szCs w:val="32"/>
        </w:rPr>
      </w:pPr>
      <w:r>
        <w:rPr>
          <w:rFonts w:hint="eastAsia" w:ascii="楷体_GB2312" w:hAnsi="楷体" w:eastAsia="楷体_GB2312"/>
          <w:b/>
          <w:sz w:val="32"/>
          <w:szCs w:val="32"/>
        </w:rPr>
        <w:t>（三）坚持“四新”引领，突显能力培养</w:t>
      </w:r>
    </w:p>
    <w:p>
      <w:pPr>
        <w:pStyle w:val="8"/>
        <w:adjustRightInd w:val="0"/>
        <w:snapToGrid w:val="0"/>
        <w:spacing w:line="360" w:lineRule="auto"/>
        <w:ind w:firstLine="640" w:firstLineChars="200"/>
        <w:rPr>
          <w:rFonts w:hint="eastAsia" w:ascii="仿宋_GB2312" w:hAnsi="楷体" w:eastAsia="仿宋_GB2312" w:cs="宋体"/>
          <w:sz w:val="32"/>
          <w:szCs w:val="32"/>
        </w:rPr>
      </w:pPr>
      <w:r>
        <w:rPr>
          <w:rFonts w:hint="eastAsia" w:ascii="仿宋_GB2312" w:hAnsi="楷体" w:eastAsia="仿宋_GB2312" w:cs="宋体"/>
          <w:sz w:val="32"/>
          <w:szCs w:val="32"/>
        </w:rPr>
        <w:t>以“新医科”建设为引领，强化医工、医理、医文学科交叉融合，加强基础与临床融通的整合式教育教学改革，体现“大健康”“大卫生”理念和新科技革命内涵；设置跨学科、交叉融合、促进学生个性化发展的能力拓展课程模块，推进学科专业交叉和前沿课程的设置，加强学生跨学科综合素质的培养，推进“医学＋X”多学科背景的特色应用型人才培养。</w:t>
      </w:r>
      <w:r>
        <w:rPr>
          <w:rFonts w:hint="eastAsia" w:ascii="仿宋_GB2312" w:hAnsi="楷体" w:eastAsia="仿宋_GB2312"/>
          <w:sz w:val="32"/>
          <w:szCs w:val="32"/>
        </w:rPr>
        <w:t>以“夯实基础、注重综合、强化应用、突出创新”为导向，进一步优化实践教学体系、推进实践教学模式改革，保证实践能力培养不断线。加大实践教学比例，探索整合实验课程，建立基础与临床（岗位）、理论与实践、科研与教学融合贯通的实践教学体系，</w:t>
      </w:r>
      <w:r>
        <w:rPr>
          <w:rFonts w:hint="eastAsia" w:ascii="仿宋_GB2312" w:hAnsi="楷体" w:eastAsia="仿宋_GB2312" w:cs="宋体"/>
          <w:sz w:val="32"/>
          <w:szCs w:val="32"/>
        </w:rPr>
        <w:t>坚持创新创业教育与专业教育深度融合，加大校企深度合作协同培养，将创新创业教育理念融入到通识教育、专业教育、实践教学各个环节，</w:t>
      </w:r>
      <w:r>
        <w:rPr>
          <w:rFonts w:hint="eastAsia" w:ascii="仿宋_GB2312" w:hAnsi="楷体" w:eastAsia="仿宋_GB2312"/>
          <w:sz w:val="32"/>
          <w:szCs w:val="32"/>
        </w:rPr>
        <w:t>注重学生创新精神、实践能力和岗位胜任力的培养，全面提升就业竞争力（含考研率），提高执业医师考试通过率。</w:t>
      </w:r>
      <w:r>
        <w:rPr>
          <w:rFonts w:hint="eastAsia" w:eastAsia="仿宋_GB2312"/>
          <w:kern w:val="0"/>
          <w:sz w:val="32"/>
          <w:szCs w:val="32"/>
        </w:rPr>
        <w:t>倡导订单式人才培养模式改革，通过产教融合、校企合作等多种形式，与用人单位共同制定符合岗位需求的特色应用型人才培养方案</w:t>
      </w:r>
      <w:r>
        <w:rPr>
          <w:rFonts w:eastAsia="仿宋_GB2312"/>
          <w:kern w:val="0"/>
          <w:sz w:val="32"/>
          <w:szCs w:val="32"/>
        </w:rPr>
        <w:t>。</w:t>
      </w:r>
    </w:p>
    <w:p>
      <w:pPr>
        <w:adjustRightInd w:val="0"/>
        <w:snapToGrid w:val="0"/>
        <w:spacing w:line="360" w:lineRule="auto"/>
        <w:ind w:firstLine="640" w:firstLineChars="200"/>
        <w:rPr>
          <w:rFonts w:hint="eastAsia" w:ascii="黑体" w:hAnsi="黑体" w:eastAsia="黑体"/>
          <w:sz w:val="32"/>
          <w:szCs w:val="32"/>
        </w:rPr>
      </w:pPr>
      <w:r>
        <w:rPr>
          <w:rFonts w:hint="eastAsia" w:ascii="黑体" w:hAnsi="黑体" w:eastAsia="黑体"/>
          <w:sz w:val="32"/>
          <w:szCs w:val="32"/>
        </w:rPr>
        <w:t>三、重点修订内容</w:t>
      </w:r>
    </w:p>
    <w:p>
      <w:pPr>
        <w:pStyle w:val="8"/>
        <w:adjustRightInd w:val="0"/>
        <w:snapToGrid w:val="0"/>
        <w:spacing w:line="360" w:lineRule="auto"/>
        <w:ind w:firstLine="643" w:firstLineChars="200"/>
        <w:jc w:val="left"/>
        <w:rPr>
          <w:rFonts w:hint="eastAsia" w:ascii="楷体_GB2312" w:hAnsi="楷体" w:eastAsia="楷体_GB2312" w:cs="宋体"/>
          <w:b/>
          <w:sz w:val="32"/>
          <w:szCs w:val="32"/>
        </w:rPr>
      </w:pPr>
      <w:r>
        <w:rPr>
          <w:rFonts w:hint="eastAsia" w:ascii="楷体_GB2312" w:hAnsi="楷体" w:eastAsia="楷体_GB2312" w:cs="宋体"/>
          <w:b/>
          <w:sz w:val="32"/>
          <w:szCs w:val="32"/>
        </w:rPr>
        <w:t>（一）明确培养目标，注重综合素质培养</w:t>
      </w:r>
    </w:p>
    <w:p>
      <w:pPr>
        <w:pStyle w:val="8"/>
        <w:adjustRightInd w:val="0"/>
        <w:snapToGrid w:val="0"/>
        <w:spacing w:line="360" w:lineRule="auto"/>
        <w:ind w:firstLine="640" w:firstLineChars="200"/>
        <w:rPr>
          <w:rFonts w:hint="eastAsia" w:ascii="仿宋_GB2312" w:hAnsi="华文仿宋" w:eastAsia="仿宋_GB2312" w:cs="宋体"/>
          <w:sz w:val="32"/>
          <w:szCs w:val="32"/>
        </w:rPr>
      </w:pPr>
      <w:r>
        <w:rPr>
          <w:rFonts w:hint="eastAsia" w:ascii="仿宋_GB2312" w:hAnsi="华文仿宋" w:eastAsia="仿宋_GB2312" w:cs="宋体"/>
          <w:sz w:val="32"/>
          <w:szCs w:val="32"/>
        </w:rPr>
        <w:t>1.总体培养目标。以立德树人为根本任务，以适应国家与地方区域经济社会发展需要为导向，围绕“三导向”人才培养模式，培养基础扎实、视野开阔、创新意识和实践能力强，具备良好的人文素质、专业素质和身心素质，德智体美劳全面发展的高素质应用型医药卫生人才。</w:t>
      </w:r>
    </w:p>
    <w:p>
      <w:pPr>
        <w:pStyle w:val="8"/>
        <w:adjustRightInd w:val="0"/>
        <w:snapToGrid w:val="0"/>
        <w:spacing w:line="360" w:lineRule="auto"/>
        <w:ind w:firstLine="640" w:firstLineChars="200"/>
        <w:rPr>
          <w:rFonts w:hint="eastAsia" w:ascii="仿宋_GB2312" w:hAnsi="华文仿宋" w:eastAsia="仿宋_GB2312" w:cs="宋体"/>
          <w:sz w:val="32"/>
          <w:szCs w:val="32"/>
        </w:rPr>
      </w:pPr>
      <w:r>
        <w:rPr>
          <w:rFonts w:hint="eastAsia" w:ascii="仿宋_GB2312" w:hAnsi="华文仿宋" w:eastAsia="仿宋_GB2312" w:cs="宋体"/>
          <w:sz w:val="32"/>
          <w:szCs w:val="32"/>
        </w:rPr>
        <w:t>2.专业培养目标。各专业要在《国标》基础上，重塑人才培养的总体目标，精心凝练、科学制定本专业可衡量的培养目标，充分体现本专业人才培养的特色与优势。对照“新医科、新工科、新文科”建设新标准和“六卓越一拔尖”计划2.0新要求，围绕知识、能力和素质三个方面，兼顾学生未来发展，将“学生中心、成果导向、持续改进”理念贯穿于人才培养全过程，通过课程体系设置支持培养目标达成。</w:t>
      </w:r>
    </w:p>
    <w:p>
      <w:pPr>
        <w:pStyle w:val="8"/>
        <w:adjustRightInd w:val="0"/>
        <w:snapToGrid w:val="0"/>
        <w:spacing w:line="360" w:lineRule="auto"/>
        <w:ind w:firstLine="643" w:firstLineChars="200"/>
        <w:jc w:val="left"/>
        <w:rPr>
          <w:rFonts w:hint="eastAsia" w:ascii="楷体_GB2312" w:hAnsi="楷体" w:eastAsia="楷体_GB2312" w:cs="宋体"/>
          <w:b/>
          <w:sz w:val="32"/>
          <w:szCs w:val="32"/>
        </w:rPr>
      </w:pPr>
      <w:r>
        <w:rPr>
          <w:rFonts w:hint="eastAsia" w:ascii="楷体_GB2312" w:hAnsi="楷体" w:eastAsia="楷体_GB2312" w:cs="宋体"/>
          <w:b/>
          <w:sz w:val="32"/>
          <w:szCs w:val="32"/>
        </w:rPr>
        <w:t>（二）优化课程体系，强化课程育人功能</w:t>
      </w:r>
    </w:p>
    <w:p>
      <w:pPr>
        <w:pStyle w:val="8"/>
        <w:adjustRightInd w:val="0"/>
        <w:snapToGrid w:val="0"/>
        <w:spacing w:line="360" w:lineRule="auto"/>
        <w:ind w:firstLine="640" w:firstLineChars="200"/>
        <w:rPr>
          <w:rFonts w:hint="eastAsia" w:ascii="仿宋_GB2312" w:hAnsi="楷体" w:eastAsia="仿宋_GB2312"/>
          <w:sz w:val="32"/>
          <w:szCs w:val="32"/>
        </w:rPr>
      </w:pPr>
      <w:r>
        <w:rPr>
          <w:rFonts w:hint="eastAsia" w:ascii="仿宋_GB2312" w:hAnsi="楷体" w:eastAsia="仿宋_GB2312"/>
          <w:sz w:val="32"/>
          <w:szCs w:val="32"/>
        </w:rPr>
        <w:t>依据《国标》，围绕高素质</w:t>
      </w:r>
      <w:r>
        <w:rPr>
          <w:rFonts w:hint="eastAsia" w:ascii="仿宋_GB2312" w:hAnsi="楷体" w:eastAsia="仿宋_GB2312" w:cs="宋体"/>
          <w:sz w:val="32"/>
          <w:szCs w:val="32"/>
        </w:rPr>
        <w:t>应用型医药卫生人才培养目标</w:t>
      </w:r>
      <w:r>
        <w:rPr>
          <w:rFonts w:ascii="仿宋_GB2312" w:hAnsi="楷体" w:eastAsia="仿宋_GB2312"/>
          <w:sz w:val="32"/>
          <w:szCs w:val="32"/>
        </w:rPr>
        <w:t>和毕业要求，</w:t>
      </w:r>
      <w:r>
        <w:rPr>
          <w:rFonts w:hint="eastAsia" w:ascii="仿宋_GB2312" w:hAnsi="楷体" w:eastAsia="仿宋_GB2312" w:cs="宋体"/>
          <w:sz w:val="32"/>
          <w:szCs w:val="32"/>
        </w:rPr>
        <w:t>对本科专业人才培养内涵要求进行梳理细化，</w:t>
      </w:r>
      <w:r>
        <w:rPr>
          <w:rFonts w:hint="eastAsia" w:ascii="仿宋_GB2312" w:hAnsi="楷体" w:eastAsia="仿宋_GB2312"/>
          <w:sz w:val="32"/>
          <w:szCs w:val="32"/>
        </w:rPr>
        <w:t>关注教学环节设置对人才培养质量的达成度，注重各专业课程设置对毕业要求和培养目标的支撑度，将“三导向”人才培养模式融入课程体系中，深入推进课程思政建设，控制课程门数、明确核心课程、删减重复课程，</w:t>
      </w:r>
      <w:r>
        <w:rPr>
          <w:rFonts w:hint="eastAsia" w:ascii="仿宋_GB2312" w:hAnsi="楷体" w:eastAsia="仿宋_GB2312" w:cs="宋体"/>
          <w:sz w:val="32"/>
          <w:szCs w:val="32"/>
        </w:rPr>
        <w:t>构建模块化课程体系，</w:t>
      </w:r>
      <w:r>
        <w:rPr>
          <w:rFonts w:hint="eastAsia" w:ascii="仿宋_GB2312" w:hAnsi="楷体" w:eastAsia="仿宋_GB2312"/>
          <w:sz w:val="32"/>
          <w:szCs w:val="32"/>
        </w:rPr>
        <w:t>改革选修课程设置模式。</w:t>
      </w:r>
      <w:r>
        <w:rPr>
          <w:rFonts w:ascii="仿宋_GB2312" w:hAnsi="楷体" w:eastAsia="仿宋_GB2312"/>
          <w:sz w:val="32"/>
          <w:szCs w:val="32"/>
        </w:rPr>
        <w:t>整体优化课程体系，</w:t>
      </w:r>
      <w:r>
        <w:rPr>
          <w:rFonts w:hint="eastAsia" w:ascii="仿宋_GB2312" w:hAnsi="楷体" w:eastAsia="仿宋_GB2312"/>
          <w:sz w:val="32"/>
          <w:szCs w:val="32"/>
        </w:rPr>
        <w:t>构建通识教育课、学科基础课、专业课、实践环节有机衔接、比例协调、逻辑清晰、特色鲜明的课程体系。大力推进学科专业交叉和前沿课程的设置，每个专业要设置2～3门</w:t>
      </w:r>
      <w:r>
        <w:rPr>
          <w:rFonts w:hint="eastAsia" w:ascii="仿宋_GB2312" w:hAnsi="楷体" w:eastAsia="仿宋_GB2312" w:cs="宋体"/>
          <w:sz w:val="32"/>
          <w:szCs w:val="32"/>
        </w:rPr>
        <w:t>“四新”课程</w:t>
      </w:r>
      <w:r>
        <w:rPr>
          <w:rFonts w:hint="eastAsia" w:ascii="仿宋_GB2312" w:hAnsi="楷体" w:eastAsia="仿宋_GB2312"/>
          <w:sz w:val="32"/>
          <w:szCs w:val="32"/>
        </w:rPr>
        <w:t>，加强课程的高阶性、创新性、挑战度，着力培养学生解决复杂问题的综合素质和创新能力</w:t>
      </w:r>
      <w:r>
        <w:rPr>
          <w:rFonts w:ascii="仿宋_GB2312" w:hAnsi="楷体" w:eastAsia="仿宋_GB2312"/>
          <w:sz w:val="32"/>
          <w:szCs w:val="32"/>
        </w:rPr>
        <w:t>。</w:t>
      </w:r>
    </w:p>
    <w:p>
      <w:pPr>
        <w:adjustRightInd w:val="0"/>
        <w:snapToGrid w:val="0"/>
        <w:spacing w:line="360" w:lineRule="auto"/>
        <w:ind w:firstLine="643" w:firstLineChars="200"/>
        <w:rPr>
          <w:rFonts w:hint="eastAsia" w:ascii="楷体_GB2312" w:hAnsi="楷体" w:eastAsia="楷体_GB2312"/>
          <w:b/>
          <w:sz w:val="32"/>
          <w:szCs w:val="32"/>
        </w:rPr>
      </w:pPr>
      <w:r>
        <w:rPr>
          <w:rFonts w:hint="eastAsia" w:ascii="楷体_GB2312" w:hAnsi="楷体" w:eastAsia="楷体_GB2312"/>
          <w:b/>
          <w:sz w:val="32"/>
          <w:szCs w:val="32"/>
        </w:rPr>
        <w:t>（三）实施创新发展，加强个性化培养</w:t>
      </w:r>
    </w:p>
    <w:p>
      <w:pPr>
        <w:pStyle w:val="8"/>
        <w:adjustRightInd w:val="0"/>
        <w:snapToGrid w:val="0"/>
        <w:spacing w:line="360" w:lineRule="auto"/>
        <w:ind w:firstLine="640" w:firstLineChars="200"/>
        <w:rPr>
          <w:rFonts w:hint="eastAsia" w:ascii="仿宋_GB2312" w:hAnsi="楷体" w:eastAsia="仿宋_GB2312"/>
          <w:sz w:val="32"/>
          <w:szCs w:val="32"/>
        </w:rPr>
      </w:pPr>
      <w:r>
        <w:rPr>
          <w:rFonts w:hint="eastAsia" w:ascii="仿宋_GB2312" w:hAnsi="楷体" w:eastAsia="仿宋_GB2312"/>
          <w:sz w:val="32"/>
          <w:szCs w:val="32"/>
        </w:rPr>
        <w:t>科学设置专业方向，探索开展“微专业”建设，构建多元化发展路径，在保证专业人才培养要求的基础上，对学有余力的学生制定相应课程模块，满足学生多样性、个性化学习需求。开设模块化选修课，满足个性需求、完善知识结构、拓宽知识面。继续实施卓越人才培养，以临床医学专业实验班为改革试点，贯彻实施“三导向”课程整合体系，形成“以器官系统为主线，融形态与功能、基础与临床、医学与人文为一体”的基于器官系统的整合式课程体系，探索基础课程与临床课程贯通的可实现途径，整体推进临床医学教育改革，全面提高医学人才培养质量。</w:t>
      </w:r>
    </w:p>
    <w:p>
      <w:pPr>
        <w:widowControl/>
        <w:adjustRightInd w:val="0"/>
        <w:snapToGrid w:val="0"/>
        <w:spacing w:line="360" w:lineRule="auto"/>
        <w:ind w:firstLine="643" w:firstLineChars="200"/>
        <w:jc w:val="left"/>
        <w:rPr>
          <w:rFonts w:hint="eastAsia" w:ascii="楷体_GB2312" w:hAnsi="楷体" w:eastAsia="楷体_GB2312" w:cs="宋体"/>
          <w:b/>
          <w:kern w:val="0"/>
          <w:sz w:val="32"/>
          <w:szCs w:val="32"/>
        </w:rPr>
      </w:pPr>
      <w:r>
        <w:rPr>
          <w:rFonts w:hint="eastAsia" w:ascii="楷体_GB2312" w:hAnsi="楷体" w:eastAsia="楷体_GB2312" w:cs="宋体"/>
          <w:b/>
          <w:sz w:val="32"/>
          <w:szCs w:val="32"/>
        </w:rPr>
        <w:t>（四）强化实践教学，提高创新实践能力</w:t>
      </w:r>
    </w:p>
    <w:p>
      <w:pPr>
        <w:widowControl/>
        <w:adjustRightInd w:val="0"/>
        <w:snapToGrid w:val="0"/>
        <w:spacing w:line="360" w:lineRule="auto"/>
        <w:ind w:firstLine="640" w:firstLineChars="200"/>
        <w:rPr>
          <w:rFonts w:hint="eastAsia" w:ascii="仿宋_GB2312" w:hAnsi="宋体" w:eastAsia="仿宋_GB2312" w:cs="宋体"/>
          <w:kern w:val="0"/>
          <w:sz w:val="32"/>
          <w:szCs w:val="32"/>
        </w:rPr>
      </w:pPr>
      <w:r>
        <w:rPr>
          <w:rFonts w:hint="eastAsia" w:ascii="仿宋_GB2312" w:hAnsi="楷体" w:eastAsia="仿宋_GB2312" w:cs="宋体"/>
          <w:sz w:val="32"/>
          <w:szCs w:val="32"/>
        </w:rPr>
        <w:t>按照专业人才培养目标，重塑实践教学体系、第二课堂等实践教学环节。将实践能力培养贯穿于专业培养全过程，</w:t>
      </w:r>
      <w:r>
        <w:rPr>
          <w:rFonts w:hint="eastAsia" w:ascii="仿宋_GB2312" w:hAnsi="宋体" w:eastAsia="仿宋_GB2312" w:cs="宋体"/>
          <w:kern w:val="0"/>
          <w:sz w:val="32"/>
          <w:szCs w:val="32"/>
        </w:rPr>
        <w:t>实践类课程比重达到35%～40%，</w:t>
      </w:r>
      <w:r>
        <w:rPr>
          <w:rFonts w:hint="eastAsia" w:ascii="仿宋_GB2312" w:hAnsi="楷体" w:eastAsia="仿宋_GB2312"/>
          <w:sz w:val="32"/>
          <w:szCs w:val="32"/>
        </w:rPr>
        <w:t>增加综合设计性、创新性实验教学比例，</w:t>
      </w:r>
      <w:r>
        <w:rPr>
          <w:rFonts w:hint="eastAsia" w:ascii="仿宋_GB2312" w:hAnsi="楷体" w:eastAsia="仿宋_GB2312" w:cs="宋体"/>
          <w:sz w:val="32"/>
          <w:szCs w:val="32"/>
        </w:rPr>
        <w:t>实现专业实践能力培养全程不断线，推进实验内容和实验模式改革创新，强化校企深度合作，加强综合性实践项目设计和应用，结合岗位胜任力要求，加强实践能力阶段综合考核，探索实施临床医学专业2＋3（2年基础＋3年临床）教学模式。完善与专业学习、创新创业等相结合的第二课堂育人体系，</w:t>
      </w:r>
      <w:r>
        <w:rPr>
          <w:rFonts w:hint="eastAsia" w:ascii="仿宋_GB2312" w:hAnsi="宋体" w:eastAsia="仿宋_GB2312" w:cs="宋体"/>
          <w:kern w:val="0"/>
          <w:sz w:val="32"/>
          <w:szCs w:val="32"/>
        </w:rPr>
        <w:t>将创新创业教育贯穿于人才培养全过程，各专业均要开设创新创业相关课程（包括实践环节），强化学生实践能力和创新创业能力培养。</w:t>
      </w:r>
      <w:r>
        <w:rPr>
          <w:rFonts w:hint="eastAsia" w:ascii="仿宋_GB2312" w:hAnsi="楷体" w:eastAsia="仿宋_GB2312" w:cs="宋体"/>
          <w:sz w:val="32"/>
          <w:szCs w:val="32"/>
        </w:rPr>
        <w:t>落实“</w:t>
      </w:r>
      <w:r>
        <w:rPr>
          <w:rFonts w:hint="eastAsia" w:ascii="仿宋_GB2312" w:hAnsi="宋体" w:eastAsia="仿宋_GB2312" w:cs="宋体"/>
          <w:sz w:val="32"/>
          <w:szCs w:val="32"/>
        </w:rPr>
        <w:t>第二课堂成绩单</w:t>
      </w:r>
      <w:r>
        <w:rPr>
          <w:rFonts w:hint="eastAsia" w:ascii="仿宋_GB2312" w:hAnsi="楷体" w:eastAsia="仿宋_GB2312" w:cs="宋体"/>
          <w:sz w:val="32"/>
          <w:szCs w:val="32"/>
        </w:rPr>
        <w:t>”制度，扩大学生知识领域、丰富学生课余文化生活，全面提高学生的综合素质及创新实践能力。</w:t>
      </w:r>
      <w:r>
        <w:rPr>
          <w:rFonts w:hint="eastAsia" w:ascii="仿宋_GB2312" w:hAnsi="宋体" w:eastAsia="仿宋_GB2312" w:cs="宋体"/>
          <w:sz w:val="32"/>
          <w:szCs w:val="32"/>
        </w:rPr>
        <w:t xml:space="preserve"> </w:t>
      </w:r>
    </w:p>
    <w:p>
      <w:pPr>
        <w:widowControl/>
        <w:adjustRightInd w:val="0"/>
        <w:snapToGrid w:val="0"/>
        <w:spacing w:line="360" w:lineRule="auto"/>
        <w:ind w:firstLine="640" w:firstLineChars="200"/>
        <w:jc w:val="left"/>
        <w:outlineLvl w:val="0"/>
        <w:rPr>
          <w:rFonts w:hint="eastAsia" w:ascii="黑体" w:hAnsi="黑体" w:eastAsia="黑体" w:cs="宋体"/>
          <w:bCs/>
          <w:kern w:val="0"/>
          <w:sz w:val="32"/>
          <w:szCs w:val="32"/>
        </w:rPr>
      </w:pPr>
      <w:r>
        <w:rPr>
          <w:rFonts w:hint="eastAsia" w:ascii="黑体" w:hAnsi="黑体" w:eastAsia="黑体" w:cs="宋体"/>
          <w:bCs/>
          <w:kern w:val="0"/>
          <w:sz w:val="32"/>
          <w:szCs w:val="32"/>
        </w:rPr>
        <w:t>四、基本结构及要求</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在《国标》基础上，结合我院教学实际，全面规范专业名称、培养目标、课程体系、课程性质、学分学时、实践教学、毕业审核等内容，整体优化课程体系，明确课程模块与学生知识能力培养的对应关系，进一步增强人才培养方案的系统性、规范性、科学性和前瞻性。</w:t>
      </w:r>
    </w:p>
    <w:p>
      <w:pPr>
        <w:widowControl/>
        <w:adjustRightInd w:val="0"/>
        <w:snapToGrid w:val="0"/>
        <w:spacing w:line="360" w:lineRule="auto"/>
        <w:ind w:firstLine="643" w:firstLineChars="200"/>
        <w:jc w:val="left"/>
        <w:outlineLvl w:val="0"/>
        <w:rPr>
          <w:rFonts w:hint="eastAsia" w:ascii="楷体_GB2312" w:hAnsi="楷体" w:eastAsia="楷体_GB2312" w:cs="宋体"/>
          <w:b/>
          <w:bCs/>
          <w:kern w:val="0"/>
          <w:sz w:val="32"/>
          <w:szCs w:val="32"/>
        </w:rPr>
      </w:pPr>
      <w:r>
        <w:rPr>
          <w:rFonts w:hint="eastAsia" w:ascii="楷体_GB2312" w:hAnsi="楷体" w:eastAsia="楷体_GB2312" w:cs="宋体"/>
          <w:b/>
          <w:bCs/>
          <w:kern w:val="0"/>
          <w:sz w:val="32"/>
          <w:szCs w:val="32"/>
        </w:rPr>
        <w:t>（一）基本内容</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1.基本信息。基本信息包括专业名称、专业门类、专业代码、学制及授予学位。要严格按教育部《普通高等学校本科专业目录和专业介绍（2012年）》《普通高等学校本科专业目录（2020年版）》相关要求，注明专业门类、专业代码、本专业学制和所授学位类型等信息。</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2.培养目标。依据教育部各专业教学指导委员会制定的专业规范，结合行业、区域发展需求和专业特色，提出本专业培养目标和服务面向，科学制定本专业可衡量的培养目标（100字左右）。</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3.培养要求。包括对毕业生的总体要求以及毕业生应具备的思想道德与职业素质目标、知识目标和技能目标等。</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4.教学时间安排表。注明各个学年教学周数安排。</w:t>
      </w:r>
    </w:p>
    <w:p>
      <w:pPr>
        <w:widowControl/>
        <w:adjustRightInd w:val="0"/>
        <w:snapToGrid w:val="0"/>
        <w:spacing w:line="360" w:lineRule="auto"/>
        <w:ind w:firstLine="640" w:firstLineChars="200"/>
        <w:rPr>
          <w:rFonts w:hint="eastAsia" w:ascii="仿宋_GB2312" w:hAnsi="楷体" w:eastAsia="仿宋_GB2312" w:cs="宋体"/>
          <w:sz w:val="32"/>
          <w:szCs w:val="32"/>
        </w:rPr>
      </w:pPr>
      <w:r>
        <w:rPr>
          <w:rFonts w:hint="eastAsia" w:ascii="仿宋_GB2312" w:hAnsi="楷体" w:eastAsia="仿宋_GB2312" w:cs="宋体"/>
          <w:kern w:val="0"/>
          <w:sz w:val="32"/>
          <w:szCs w:val="32"/>
        </w:rPr>
        <w:t>5.专业主干学科、核心课程。</w:t>
      </w:r>
      <w:r>
        <w:rPr>
          <w:rFonts w:hint="eastAsia" w:ascii="仿宋_GB2312" w:hAnsi="楷体" w:eastAsia="仿宋_GB2312" w:cs="宋体"/>
          <w:sz w:val="32"/>
          <w:szCs w:val="32"/>
        </w:rPr>
        <w:t>各专业应参照《国标》、结合专业特色设置。</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sz w:val="32"/>
          <w:szCs w:val="32"/>
        </w:rPr>
        <w:t>主干学科是指由培养目标所决定并为获得专业能力所必须具备的专业理论与技能体系，一般为2～3个。</w:t>
      </w:r>
    </w:p>
    <w:p>
      <w:pPr>
        <w:widowControl/>
        <w:adjustRightInd w:val="0"/>
        <w:snapToGrid w:val="0"/>
        <w:spacing w:line="360" w:lineRule="auto"/>
        <w:ind w:firstLine="640" w:firstLineChars="200"/>
        <w:rPr>
          <w:rFonts w:hint="eastAsia" w:ascii="仿宋_GB2312" w:hAnsi="楷体" w:eastAsia="仿宋_GB2312" w:cs="宋体"/>
          <w:sz w:val="32"/>
          <w:szCs w:val="32"/>
        </w:rPr>
      </w:pPr>
      <w:r>
        <w:rPr>
          <w:rFonts w:hint="eastAsia" w:ascii="仿宋_GB2312" w:hAnsi="楷体" w:eastAsia="仿宋_GB2312" w:cs="宋体"/>
          <w:sz w:val="32"/>
          <w:szCs w:val="32"/>
        </w:rPr>
        <w:t>核心课程是培养本专业核心知识与技能的课程群，应根据主干学科确定，一般不超过10门。</w:t>
      </w:r>
    </w:p>
    <w:p>
      <w:pPr>
        <w:widowControl/>
        <w:adjustRightInd w:val="0"/>
        <w:snapToGrid w:val="0"/>
        <w:spacing w:line="360" w:lineRule="auto"/>
        <w:ind w:firstLine="640" w:firstLineChars="200"/>
        <w:rPr>
          <w:rFonts w:ascii="仿宋_GB2312" w:hAnsi="楷体" w:eastAsia="仿宋_GB2312" w:cs="宋体"/>
          <w:kern w:val="0"/>
          <w:sz w:val="32"/>
          <w:szCs w:val="32"/>
        </w:rPr>
      </w:pPr>
      <w:r>
        <w:rPr>
          <w:rFonts w:hint="eastAsia" w:ascii="仿宋_GB2312" w:hAnsi="楷体" w:eastAsia="仿宋_GB2312" w:cs="宋体"/>
          <w:kern w:val="0"/>
          <w:sz w:val="32"/>
          <w:szCs w:val="32"/>
        </w:rPr>
        <w:t>6.课程设置与安排。包括必修课及选修课的课程设置、学时分配、教学进度，以及集中实践环节安排表（根据《齐齐哈尔医学院“三导向”职业精神和社会适应能力提升工程实施指南（试行）》要求设置）。</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7.成绩考核。由课程考核和综合考试/毕业论文（设计）组成。</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8.毕业及学位授予。注明准予毕业和学位授予相关标准。</w:t>
      </w:r>
    </w:p>
    <w:p>
      <w:pPr>
        <w:pStyle w:val="13"/>
        <w:shd w:val="clear" w:color="auto" w:fill="FFFFFF"/>
        <w:adjustRightInd w:val="0"/>
        <w:snapToGrid w:val="0"/>
        <w:spacing w:before="0" w:beforeAutospacing="0" w:after="0" w:afterAutospacing="0" w:line="360" w:lineRule="auto"/>
        <w:ind w:firstLine="643" w:firstLineChars="200"/>
        <w:rPr>
          <w:rFonts w:hint="eastAsia" w:ascii="楷体_GB2312" w:hAnsi="楷体" w:eastAsia="楷体_GB2312"/>
          <w:b/>
          <w:sz w:val="32"/>
          <w:szCs w:val="32"/>
        </w:rPr>
      </w:pPr>
      <w:r>
        <w:rPr>
          <w:rFonts w:hint="eastAsia" w:ascii="楷体_GB2312" w:hAnsi="楷体" w:eastAsia="楷体_GB2312"/>
          <w:b/>
          <w:sz w:val="32"/>
          <w:szCs w:val="32"/>
        </w:rPr>
        <w:t>（二）教学环节安排</w:t>
      </w:r>
    </w:p>
    <w:p>
      <w:pPr>
        <w:widowControl/>
        <w:adjustRightInd w:val="0"/>
        <w:snapToGrid w:val="0"/>
        <w:spacing w:line="360" w:lineRule="auto"/>
        <w:ind w:firstLine="640" w:firstLineChars="200"/>
        <w:outlineLvl w:val="0"/>
        <w:rPr>
          <w:rFonts w:hint="eastAsia" w:ascii="楷体_GB2312" w:hAnsi="楷体" w:eastAsia="楷体_GB2312" w:cs="宋体"/>
          <w:b/>
          <w:bCs/>
          <w:kern w:val="0"/>
          <w:sz w:val="32"/>
          <w:szCs w:val="32"/>
        </w:rPr>
      </w:pPr>
      <w:r>
        <w:rPr>
          <w:rFonts w:hint="eastAsia" w:ascii="仿宋_GB2312" w:hAnsi="楷体" w:eastAsia="仿宋_GB2312"/>
          <w:sz w:val="32"/>
          <w:szCs w:val="32"/>
        </w:rPr>
        <w:t>每学年设置2个学期，每学期一般为20周。课程教学安排17周，考试2周，机动或国家法定节假日1周。第一学期军训、入学教育2周，机动或国家法定节假日1周，课程教学安排14周，考试2周。</w:t>
      </w:r>
    </w:p>
    <w:p>
      <w:pPr>
        <w:widowControl/>
        <w:adjustRightInd w:val="0"/>
        <w:snapToGrid w:val="0"/>
        <w:spacing w:line="360" w:lineRule="auto"/>
        <w:ind w:firstLine="643" w:firstLineChars="200"/>
        <w:jc w:val="left"/>
        <w:outlineLvl w:val="0"/>
        <w:rPr>
          <w:rFonts w:hint="eastAsia" w:ascii="楷体_GB2312" w:hAnsi="楷体" w:eastAsia="楷体_GB2312" w:cs="宋体"/>
          <w:b/>
          <w:bCs/>
          <w:kern w:val="0"/>
          <w:sz w:val="32"/>
          <w:szCs w:val="32"/>
        </w:rPr>
      </w:pPr>
      <w:r>
        <w:rPr>
          <w:rFonts w:hint="eastAsia" w:ascii="楷体_GB2312" w:hAnsi="楷体" w:eastAsia="楷体_GB2312" w:cs="宋体"/>
          <w:b/>
          <w:bCs/>
          <w:kern w:val="0"/>
          <w:sz w:val="32"/>
          <w:szCs w:val="32"/>
        </w:rPr>
        <w:t>（三）课程设置</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1.课程性质分为必修课和选修课两种。</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2.课程体系由通识课、专业基础课、专业课、专业拓展课、选修课和实践教学、第二课堂七部分组成。</w:t>
      </w:r>
    </w:p>
    <w:p>
      <w:pPr>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（1）通识课：指全院各专业共同开设的课程，</w:t>
      </w:r>
      <w:r>
        <w:rPr>
          <w:rFonts w:hint="eastAsia" w:ascii="仿宋_GB2312" w:hAnsi="楷体" w:eastAsia="仿宋_GB2312" w:cs="Courier New"/>
          <w:sz w:val="32"/>
          <w:szCs w:val="32"/>
        </w:rPr>
        <w:t>包括思政类、外语类、体育类、计算机类、</w:t>
      </w:r>
      <w:r>
        <w:rPr>
          <w:rFonts w:hint="eastAsia" w:ascii="仿宋_GB2312" w:hAnsi="楷体" w:eastAsia="仿宋_GB2312" w:cs="宋体"/>
          <w:kern w:val="0"/>
          <w:sz w:val="32"/>
          <w:szCs w:val="32"/>
        </w:rPr>
        <w:t>创新创业类、</w:t>
      </w:r>
      <w:r>
        <w:rPr>
          <w:rFonts w:hint="eastAsia" w:ascii="仿宋_GB2312" w:hAnsi="楷体" w:eastAsia="仿宋_GB2312" w:cs="Courier New"/>
          <w:sz w:val="32"/>
          <w:szCs w:val="32"/>
        </w:rPr>
        <w:t>军事类、大学生心理健康教育类、职业规划与就业指导类等课程</w:t>
      </w:r>
      <w:r>
        <w:rPr>
          <w:rFonts w:hint="eastAsia" w:ascii="仿宋_GB2312" w:hAnsi="楷体" w:eastAsia="仿宋_GB2312" w:cs="宋体"/>
          <w:kern w:val="0"/>
          <w:sz w:val="32"/>
          <w:szCs w:val="32"/>
        </w:rPr>
        <w:t>，须按照学院统一要求设置。</w:t>
      </w:r>
    </w:p>
    <w:p>
      <w:pPr>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（2）专业基础课：</w:t>
      </w:r>
      <w:r>
        <w:rPr>
          <w:rFonts w:hint="eastAsia" w:ascii="仿宋_GB2312" w:hAnsi="楷体" w:eastAsia="仿宋_GB2312" w:cs="Courier New"/>
          <w:sz w:val="32"/>
          <w:szCs w:val="32"/>
        </w:rPr>
        <w:t>指相近专业具有公共性、基础性的课程，</w:t>
      </w:r>
    </w:p>
    <w:p>
      <w:pPr>
        <w:widowControl/>
        <w:adjustRightInd w:val="0"/>
        <w:snapToGrid w:val="0"/>
        <w:spacing w:line="360" w:lineRule="auto"/>
        <w:rPr>
          <w:rFonts w:hint="eastAsia" w:ascii="仿宋_GB2312" w:hAnsi="楷体" w:eastAsia="仿宋_GB2312" w:cs="宋体"/>
          <w:kern w:val="0"/>
          <w:sz w:val="32"/>
          <w:szCs w:val="32"/>
        </w:rPr>
      </w:pPr>
      <w:r>
        <w:rPr>
          <w:rFonts w:hint="eastAsia" w:ascii="仿宋_GB2312" w:hAnsi="楷体" w:eastAsia="仿宋_GB2312" w:cs="Courier New"/>
          <w:sz w:val="32"/>
          <w:szCs w:val="32"/>
        </w:rPr>
        <w:t>旨在培养学生完整规范的学科基础知识体系，</w:t>
      </w:r>
      <w:r>
        <w:rPr>
          <w:rFonts w:hint="eastAsia" w:ascii="仿宋_GB2312" w:hAnsi="楷体" w:eastAsia="仿宋_GB2312" w:cs="宋体"/>
          <w:kern w:val="0"/>
          <w:sz w:val="32"/>
          <w:szCs w:val="32"/>
        </w:rPr>
        <w:t>学生必需掌握的专业基础理论、基本知识和基本技能的课程，根据课程的开课计划，合理安排授课学期，</w:t>
      </w:r>
      <w:r>
        <w:rPr>
          <w:rFonts w:hint="eastAsia" w:ascii="仿宋_GB2312" w:hAnsi="楷体" w:eastAsia="仿宋_GB2312" w:cs="Courier New"/>
          <w:sz w:val="32"/>
          <w:szCs w:val="32"/>
        </w:rPr>
        <w:t>每门课程原则上设置不多于3种学时。</w:t>
      </w:r>
    </w:p>
    <w:p>
      <w:pPr>
        <w:widowControl/>
        <w:adjustRightInd w:val="0"/>
        <w:snapToGrid w:val="0"/>
        <w:spacing w:line="360" w:lineRule="auto"/>
        <w:ind w:firstLine="640" w:firstLineChars="200"/>
        <w:rPr>
          <w:rFonts w:hint="eastAsia" w:ascii="仿宋_GB2312" w:hAnsi="楷体" w:eastAsia="仿宋_GB2312" w:cs="Courier New"/>
          <w:sz w:val="32"/>
          <w:szCs w:val="32"/>
        </w:rPr>
      </w:pPr>
      <w:r>
        <w:rPr>
          <w:rFonts w:hint="eastAsia" w:ascii="仿宋_GB2312" w:hAnsi="楷体" w:eastAsia="仿宋_GB2312" w:cs="宋体"/>
          <w:kern w:val="0"/>
          <w:sz w:val="32"/>
          <w:szCs w:val="32"/>
        </w:rPr>
        <w:t>（3）专业课：</w:t>
      </w:r>
      <w:r>
        <w:rPr>
          <w:rFonts w:hint="eastAsia" w:ascii="仿宋_GB2312" w:hAnsi="楷体" w:eastAsia="仿宋_GB2312" w:cs="Courier New"/>
          <w:sz w:val="32"/>
          <w:szCs w:val="32"/>
        </w:rPr>
        <w:t>是保证专业培养基本规格的必修课程，课程设置应依据《国标》对各专业核心课程的要求，围绕主要知识点对课程进行整合，削枝强干，力求精炼，与行业接轨，突出专业核心能力培养，旨在培养学生的专业核心知识、能力、素质。</w:t>
      </w:r>
    </w:p>
    <w:p>
      <w:pPr>
        <w:widowControl/>
        <w:adjustRightInd w:val="0"/>
        <w:snapToGrid w:val="0"/>
        <w:spacing w:line="360" w:lineRule="auto"/>
        <w:ind w:firstLine="640" w:firstLineChars="200"/>
        <w:rPr>
          <w:rFonts w:hint="eastAsia" w:ascii="仿宋_GB2312" w:hAnsi="楷体" w:eastAsia="仿宋_GB2312" w:cs="Courier New"/>
          <w:sz w:val="32"/>
          <w:szCs w:val="32"/>
        </w:rPr>
      </w:pPr>
      <w:r>
        <w:rPr>
          <w:rFonts w:hint="eastAsia" w:ascii="仿宋_GB2312" w:hAnsi="楷体" w:eastAsia="仿宋_GB2312" w:cs="Courier New"/>
          <w:sz w:val="32"/>
          <w:szCs w:val="32"/>
        </w:rPr>
        <w:t>（4）专业拓展课：跨学科、交叉融合、促进学生个性化发展的能力拓展课程模块，旨在开阔学生视野，培养志趣，鼓励学生深入探索、拓展素质。鼓励开展产学研合作、科技创新、创业训练等合作育人课程，强化本科生科研训练，设置创新特色课程，帮助学生早期接触科研。</w:t>
      </w:r>
    </w:p>
    <w:p>
      <w:pPr>
        <w:adjustRightInd w:val="0"/>
        <w:snapToGrid w:val="0"/>
        <w:spacing w:line="360" w:lineRule="auto"/>
        <w:ind w:firstLine="640" w:firstLineChars="200"/>
        <w:rPr>
          <w:rFonts w:hint="eastAsia" w:ascii="仿宋_GB2312" w:hAnsi="楷体" w:eastAsia="仿宋_GB2312"/>
          <w:sz w:val="32"/>
          <w:szCs w:val="32"/>
        </w:rPr>
      </w:pPr>
      <w:r>
        <w:rPr>
          <w:rFonts w:hint="eastAsia" w:ascii="仿宋_GB2312" w:hAnsi="楷体" w:eastAsia="仿宋_GB2312" w:cs="宋体"/>
          <w:kern w:val="0"/>
          <w:sz w:val="32"/>
          <w:szCs w:val="32"/>
        </w:rPr>
        <w:t>（5）选修课：是面向所有专业开设的选修课程。</w:t>
      </w:r>
      <w:r>
        <w:rPr>
          <w:rFonts w:hint="eastAsia" w:ascii="仿宋_GB2312" w:hAnsi="楷体" w:eastAsia="仿宋_GB2312"/>
          <w:sz w:val="32"/>
          <w:szCs w:val="32"/>
        </w:rPr>
        <w:t>目的在于拓展学生各方面的视野，培养学生的伦理道德和价值判断能力，训练科学的思维方式方法，培养学生的审美能力等。</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（6）实践教学：</w:t>
      </w:r>
      <w:r>
        <w:rPr>
          <w:rFonts w:hint="eastAsia" w:ascii="仿宋_GB2312" w:hAnsi="楷体" w:eastAsia="仿宋_GB2312" w:cs="宋体"/>
          <w:sz w:val="32"/>
          <w:szCs w:val="32"/>
        </w:rPr>
        <w:t xml:space="preserve">包括入学教育、军训、实践（实验）课程、见习、实习、毕业论文（设计）等。 </w:t>
      </w:r>
    </w:p>
    <w:p>
      <w:pPr>
        <w:adjustRightInd w:val="0"/>
        <w:snapToGrid w:val="0"/>
        <w:spacing w:line="360" w:lineRule="auto"/>
        <w:ind w:firstLine="640" w:firstLineChars="200"/>
        <w:rPr>
          <w:rFonts w:hint="eastAsia" w:ascii="仿宋_GB2312" w:hAnsi="楷体" w:eastAsia="仿宋_GB2312" w:cs="宋体"/>
          <w:sz w:val="32"/>
          <w:szCs w:val="32"/>
        </w:rPr>
      </w:pPr>
      <w:r>
        <w:rPr>
          <w:rFonts w:hint="eastAsia" w:ascii="仿宋_GB2312" w:hAnsi="楷体" w:eastAsia="仿宋_GB2312" w:cs="宋体"/>
          <w:sz w:val="32"/>
          <w:szCs w:val="32"/>
        </w:rPr>
        <w:t>（7）第二课堂：结合“三导向”人才培养模式，创新性落实第二课堂成绩单制度，包括创新创业、社会实践、志愿服务、文化艺术、体育活动、工作履历、技能特长、思想成长等内容，纳入学分管理。</w:t>
      </w:r>
    </w:p>
    <w:p>
      <w:pPr>
        <w:widowControl/>
        <w:adjustRightInd w:val="0"/>
        <w:snapToGrid w:val="0"/>
        <w:spacing w:line="360" w:lineRule="auto"/>
        <w:ind w:firstLine="643" w:firstLineChars="200"/>
        <w:jc w:val="left"/>
        <w:outlineLvl w:val="0"/>
        <w:rPr>
          <w:rFonts w:hint="eastAsia" w:ascii="仿宋_GB2312" w:hAnsi="楷体" w:eastAsia="仿宋_GB2312" w:cs="宋体"/>
          <w:sz w:val="32"/>
          <w:szCs w:val="32"/>
        </w:rPr>
      </w:pPr>
      <w:r>
        <w:rPr>
          <w:rFonts w:hint="eastAsia" w:ascii="楷体_GB2312" w:hAnsi="楷体" w:eastAsia="楷体_GB2312" w:cs="宋体"/>
          <w:b/>
          <w:bCs/>
          <w:kern w:val="0"/>
          <w:sz w:val="32"/>
          <w:szCs w:val="32"/>
        </w:rPr>
        <w:t>（四）学时学分要求</w:t>
      </w:r>
    </w:p>
    <w:p>
      <w:pPr>
        <w:widowControl/>
        <w:adjustRightInd w:val="0"/>
        <w:snapToGrid w:val="0"/>
        <w:spacing w:line="360" w:lineRule="auto"/>
        <w:ind w:firstLine="640" w:firstLineChars="200"/>
        <w:rPr>
          <w:rFonts w:hint="eastAsia" w:ascii="仿宋_GB2312" w:hAnsi="楷体" w:eastAsia="仿宋_GB2312" w:cs="宋体"/>
          <w:sz w:val="32"/>
          <w:szCs w:val="32"/>
        </w:rPr>
      </w:pPr>
      <w:r>
        <w:rPr>
          <w:rFonts w:hint="eastAsia" w:ascii="仿宋_GB2312" w:hAnsi="楷体" w:eastAsia="仿宋_GB2312" w:cs="宋体"/>
          <w:sz w:val="32"/>
          <w:szCs w:val="32"/>
        </w:rPr>
        <w:t>2022版培养方案的课程学时数在2019版培养方案的课程学时数基础上总体删减</w:t>
      </w:r>
      <w:r>
        <w:rPr>
          <w:rFonts w:hint="eastAsia" w:ascii="仿宋_GB2312" w:hAnsi="楷体" w:eastAsia="仿宋_GB2312" w:cs="宋体"/>
          <w:kern w:val="0"/>
          <w:sz w:val="32"/>
          <w:szCs w:val="32"/>
        </w:rPr>
        <w:t>10%</w:t>
      </w:r>
      <w:r>
        <w:rPr>
          <w:rFonts w:hint="eastAsia" w:ascii="仿宋_GB2312" w:hAnsi="楷体" w:eastAsia="仿宋_GB2312" w:cs="宋体"/>
          <w:sz w:val="32"/>
          <w:szCs w:val="32"/>
        </w:rPr>
        <w:t>，删减学时用于学生自主学习、实践活动和开展第二课堂活动等。</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1.各类专业课程框架总体要求如下：</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（1）理、工、法、管理学类四年制专业：必修课总学时不超过2400学时，实践教学学时比例为总学时的35%～40%，选修课不少于10学分。</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（2）医学类五年制专业：必修课总学时原则上不超过3200学时，实践教学学时比例为总学时的35%～40%，选修课不少于12学分。</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（3）各专业类别要科学合理设置通识课程、专业课程学分比例（详见表格）。</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kern w:val="0"/>
          <w:sz w:val="32"/>
          <w:szCs w:val="32"/>
        </w:rPr>
        <w:t>2.理论授课为主的课程每16学时计1学分，独立设置实验课程每32学时计1学分；军训和早期临床实践每2周计1学分；集中安排的实践环节（实习、毕业设计等）按每1周计1学分，分散安排的实践教学环节在折合成周数后计算学分；课程学时数原则上以8的倍数安排，学分最小计算单位为0.5。</w:t>
      </w:r>
    </w:p>
    <w:p>
      <w:pPr>
        <w:widowControl/>
        <w:adjustRightInd w:val="0"/>
        <w:snapToGrid w:val="0"/>
        <w:spacing w:line="360" w:lineRule="auto"/>
        <w:ind w:firstLine="640" w:firstLineChars="200"/>
        <w:rPr>
          <w:rFonts w:hint="eastAsia" w:ascii="仿宋_GB2312" w:hAnsi="楷体" w:eastAsia="仿宋_GB2312" w:cs="宋体"/>
          <w:kern w:val="0"/>
          <w:sz w:val="32"/>
          <w:szCs w:val="32"/>
        </w:rPr>
      </w:pPr>
      <w:r>
        <w:rPr>
          <w:rFonts w:hint="eastAsia" w:ascii="仿宋_GB2312" w:hAnsi="楷体" w:eastAsia="仿宋_GB2312" w:cs="宋体"/>
          <w:sz w:val="32"/>
          <w:szCs w:val="32"/>
        </w:rPr>
        <w:t>3.课程设置要保证学年学期的学分、周学时分配均衡合理，每学期必修课课程设置一般不超过400学时，每周不超过24学</w:t>
      </w:r>
    </w:p>
    <w:p>
      <w:pPr>
        <w:widowControl/>
        <w:adjustRightInd w:val="0"/>
        <w:snapToGrid w:val="0"/>
        <w:spacing w:line="360" w:lineRule="auto"/>
        <w:rPr>
          <w:rFonts w:hint="eastAsia" w:ascii="仿宋_GB2312" w:hAnsi="楷体" w:eastAsia="仿宋_GB2312" w:cs="宋体"/>
          <w:sz w:val="32"/>
          <w:szCs w:val="32"/>
        </w:rPr>
      </w:pPr>
      <w:r>
        <w:rPr>
          <w:rFonts w:hint="eastAsia" w:ascii="仿宋_GB2312" w:hAnsi="楷体" w:eastAsia="仿宋_GB2312" w:cs="宋体"/>
          <w:sz w:val="32"/>
          <w:szCs w:val="32"/>
        </w:rPr>
        <w:t>时。</w:t>
      </w:r>
    </w:p>
    <w:p>
      <w:pPr>
        <w:widowControl/>
        <w:adjustRightInd w:val="0"/>
        <w:snapToGrid w:val="0"/>
        <w:spacing w:line="360" w:lineRule="auto"/>
        <w:jc w:val="center"/>
        <w:rPr>
          <w:rFonts w:hint="eastAsia" w:ascii="黑体" w:hAnsi="黑体" w:eastAsia="黑体" w:cs="宋体"/>
          <w:bCs/>
          <w:sz w:val="32"/>
          <w:szCs w:val="32"/>
        </w:rPr>
      </w:pPr>
      <w:r>
        <w:rPr>
          <w:rFonts w:hint="eastAsia" w:ascii="黑体" w:hAnsi="黑体" w:eastAsia="黑体" w:cs="宋体"/>
          <w:bCs/>
          <w:sz w:val="32"/>
          <w:szCs w:val="32"/>
        </w:rPr>
        <w:t>各专业类别各类课程学分</w:t>
      </w:r>
    </w:p>
    <w:tbl>
      <w:tblPr>
        <w:tblStyle w:val="15"/>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276"/>
        <w:gridCol w:w="3685"/>
        <w:gridCol w:w="1701"/>
        <w:gridCol w:w="1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2"/>
            <w:tcBorders>
              <w:top w:val="single" w:color="auto" w:sz="12" w:space="0"/>
              <w:left w:val="single" w:color="auto" w:sz="12" w:space="0"/>
            </w:tcBorders>
            <w:shd w:val="clear" w:color="auto" w:fill="C6D9F1"/>
            <w:vAlign w:val="center"/>
          </w:tcPr>
          <w:p>
            <w:pPr>
              <w:pStyle w:val="13"/>
              <w:spacing w:before="0" w:beforeAutospacing="0" w:after="0" w:afterAutospacing="0" w:line="360" w:lineRule="auto"/>
              <w:jc w:val="center"/>
              <w:rPr>
                <w:rFonts w:hint="eastAsia"/>
                <w:b/>
              </w:rPr>
            </w:pPr>
            <w:r>
              <w:rPr>
                <w:rStyle w:val="18"/>
                <w:rFonts w:hint="eastAsia"/>
                <w:b w:val="0"/>
              </w:rPr>
              <w:t>课程类别</w:t>
            </w:r>
          </w:p>
        </w:tc>
        <w:tc>
          <w:tcPr>
            <w:tcW w:w="3685" w:type="dxa"/>
            <w:tcBorders>
              <w:top w:val="single" w:color="auto" w:sz="12" w:space="0"/>
            </w:tcBorders>
            <w:shd w:val="clear" w:color="auto" w:fill="C6D9F1"/>
            <w:vAlign w:val="center"/>
          </w:tcPr>
          <w:p>
            <w:pPr>
              <w:pStyle w:val="13"/>
              <w:spacing w:before="0" w:beforeAutospacing="0" w:after="0" w:afterAutospacing="0" w:line="360" w:lineRule="auto"/>
              <w:jc w:val="center"/>
              <w:rPr>
                <w:rFonts w:hint="eastAsia"/>
                <w:b/>
              </w:rPr>
            </w:pPr>
            <w:r>
              <w:rPr>
                <w:rStyle w:val="18"/>
                <w:rFonts w:hint="eastAsia"/>
                <w:b w:val="0"/>
              </w:rPr>
              <w:t>构 成</w:t>
            </w:r>
          </w:p>
        </w:tc>
        <w:tc>
          <w:tcPr>
            <w:tcW w:w="1701" w:type="dxa"/>
            <w:tcBorders>
              <w:top w:val="single" w:color="auto" w:sz="12" w:space="0"/>
              <w:bottom w:val="single" w:color="auto" w:sz="4" w:space="0"/>
            </w:tcBorders>
            <w:shd w:val="clear" w:color="auto" w:fill="C6D9F1"/>
            <w:vAlign w:val="center"/>
          </w:tcPr>
          <w:p>
            <w:pPr>
              <w:pStyle w:val="13"/>
              <w:spacing w:before="0" w:beforeAutospacing="0" w:after="0" w:afterAutospacing="0" w:line="360" w:lineRule="auto"/>
              <w:jc w:val="center"/>
              <w:rPr>
                <w:rFonts w:hint="eastAsia"/>
                <w:b/>
              </w:rPr>
            </w:pPr>
            <w:r>
              <w:rPr>
                <w:rStyle w:val="18"/>
                <w:rFonts w:hint="eastAsia"/>
                <w:b w:val="0"/>
              </w:rPr>
              <w:t>四年制本科</w:t>
            </w:r>
          </w:p>
        </w:tc>
        <w:tc>
          <w:tcPr>
            <w:tcW w:w="1580" w:type="dxa"/>
            <w:tcBorders>
              <w:top w:val="single" w:color="auto" w:sz="12" w:space="0"/>
              <w:bottom w:val="single" w:color="auto" w:sz="4" w:space="0"/>
              <w:right w:val="single" w:color="auto" w:sz="12" w:space="0"/>
            </w:tcBorders>
            <w:shd w:val="clear" w:color="auto" w:fill="C6D9F1"/>
            <w:vAlign w:val="center"/>
          </w:tcPr>
          <w:p>
            <w:pPr>
              <w:pStyle w:val="13"/>
              <w:spacing w:before="0" w:beforeAutospacing="0" w:after="0" w:afterAutospacing="0" w:line="360" w:lineRule="auto"/>
              <w:jc w:val="center"/>
              <w:rPr>
                <w:rStyle w:val="18"/>
                <w:rFonts w:hint="eastAsia"/>
                <w:b w:val="0"/>
              </w:rPr>
            </w:pPr>
            <w:r>
              <w:rPr>
                <w:rStyle w:val="18"/>
                <w:rFonts w:hint="eastAsia"/>
                <w:b w:val="0"/>
              </w:rPr>
              <w:t>五年制本科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tcBorders>
              <w:left w:val="single" w:color="auto" w:sz="12" w:space="0"/>
            </w:tcBorders>
            <w:shd w:val="clear" w:color="auto" w:fill="FFFFCC"/>
            <w:vAlign w:val="center"/>
          </w:tcPr>
          <w:p>
            <w:pPr>
              <w:pStyle w:val="13"/>
              <w:spacing w:before="0" w:beforeAutospacing="0" w:after="0" w:afterAutospacing="0" w:line="0" w:lineRule="atLeast"/>
              <w:jc w:val="center"/>
              <w:rPr>
                <w:rFonts w:hint="eastAsia"/>
              </w:rPr>
            </w:pPr>
            <w:r>
              <w:rPr>
                <w:rFonts w:hint="eastAsia"/>
              </w:rPr>
              <w:t>通识</w:t>
            </w:r>
          </w:p>
          <w:p>
            <w:pPr>
              <w:pStyle w:val="13"/>
              <w:spacing w:before="0" w:beforeAutospacing="0" w:after="0" w:afterAutospacing="0" w:line="0" w:lineRule="atLeast"/>
              <w:jc w:val="center"/>
              <w:rPr>
                <w:rFonts w:hint="eastAsia"/>
              </w:rPr>
            </w:pPr>
            <w:r>
              <w:rPr>
                <w:rFonts w:hint="eastAsia"/>
              </w:rPr>
              <w:t>教育</w:t>
            </w:r>
          </w:p>
          <w:p>
            <w:pPr>
              <w:pStyle w:val="13"/>
              <w:spacing w:before="0" w:beforeAutospacing="0" w:after="0" w:afterAutospacing="0" w:line="0" w:lineRule="atLeast"/>
              <w:jc w:val="center"/>
              <w:rPr>
                <w:rFonts w:hint="eastAsia"/>
              </w:rPr>
            </w:pPr>
            <w:r>
              <w:rPr>
                <w:rFonts w:hint="eastAsia"/>
              </w:rPr>
              <w:t>课程</w:t>
            </w:r>
          </w:p>
        </w:tc>
        <w:tc>
          <w:tcPr>
            <w:tcW w:w="1276" w:type="dxa"/>
            <w:vAlign w:val="center"/>
          </w:tcPr>
          <w:p>
            <w:pPr>
              <w:pStyle w:val="13"/>
              <w:spacing w:before="0" w:beforeAutospacing="0" w:after="0" w:afterAutospacing="0" w:line="0" w:lineRule="atLeast"/>
              <w:jc w:val="center"/>
              <w:rPr>
                <w:rFonts w:hint="eastAsia"/>
              </w:rPr>
            </w:pPr>
            <w:r>
              <w:rPr>
                <w:rFonts w:hint="eastAsia"/>
              </w:rPr>
              <w:t>通识</w:t>
            </w:r>
          </w:p>
          <w:p>
            <w:pPr>
              <w:pStyle w:val="13"/>
              <w:spacing w:before="0" w:beforeAutospacing="0" w:after="0" w:afterAutospacing="0" w:line="0" w:lineRule="atLeast"/>
              <w:jc w:val="center"/>
              <w:rPr>
                <w:rFonts w:hint="eastAsia"/>
              </w:rPr>
            </w:pPr>
            <w:r>
              <w:rPr>
                <w:rFonts w:hint="eastAsia"/>
              </w:rPr>
              <w:t>必修课程</w:t>
            </w:r>
          </w:p>
        </w:tc>
        <w:tc>
          <w:tcPr>
            <w:tcW w:w="3685" w:type="dxa"/>
            <w:vAlign w:val="center"/>
          </w:tcPr>
          <w:p>
            <w:pPr>
              <w:pStyle w:val="13"/>
              <w:spacing w:before="0" w:beforeAutospacing="0" w:after="0" w:afterAutospacing="0" w:line="0" w:lineRule="atLeast"/>
              <w:jc w:val="both"/>
              <w:rPr>
                <w:rFonts w:hint="eastAsia"/>
              </w:rPr>
            </w:pPr>
            <w:r>
              <w:rPr>
                <w:rFonts w:hint="eastAsia"/>
              </w:rPr>
              <w:t>思政类、外语类、</w:t>
            </w:r>
          </w:p>
          <w:p>
            <w:pPr>
              <w:pStyle w:val="13"/>
              <w:spacing w:before="0" w:beforeAutospacing="0" w:after="0" w:afterAutospacing="0" w:line="0" w:lineRule="atLeast"/>
              <w:jc w:val="both"/>
              <w:rPr>
                <w:rFonts w:hint="eastAsia"/>
              </w:rPr>
            </w:pPr>
            <w:r>
              <w:rPr>
                <w:rFonts w:hint="eastAsia"/>
              </w:rPr>
              <w:t>体育类、计算机类、</w:t>
            </w:r>
          </w:p>
          <w:p>
            <w:pPr>
              <w:pStyle w:val="13"/>
              <w:spacing w:before="0" w:beforeAutospacing="0" w:after="0" w:afterAutospacing="0" w:line="0" w:lineRule="atLeast"/>
              <w:jc w:val="both"/>
              <w:rPr>
                <w:rFonts w:hint="eastAsia"/>
              </w:rPr>
            </w:pPr>
            <w:r>
              <w:rPr>
                <w:rFonts w:hint="eastAsia"/>
              </w:rPr>
              <w:t>职业生涯指导与创业基础等</w:t>
            </w:r>
          </w:p>
        </w:tc>
        <w:tc>
          <w:tcPr>
            <w:tcW w:w="3281" w:type="dxa"/>
            <w:gridSpan w:val="2"/>
            <w:tcBorders>
              <w:right w:val="single" w:color="auto" w:sz="12" w:space="0"/>
            </w:tcBorders>
            <w:vAlign w:val="center"/>
          </w:tcPr>
          <w:p>
            <w:pPr>
              <w:pStyle w:val="13"/>
              <w:spacing w:before="0" w:beforeAutospacing="0" w:after="0" w:afterAutospacing="0" w:line="0" w:lineRule="atLeast"/>
              <w:jc w:val="both"/>
            </w:pPr>
            <w:r>
              <w:rPr>
                <w:rFonts w:hint="eastAsia"/>
              </w:rPr>
              <w:t>学分比例：20%～25%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left w:val="single" w:color="auto" w:sz="12" w:space="0"/>
            </w:tcBorders>
            <w:shd w:val="clear" w:color="auto" w:fill="FFFFCC"/>
            <w:vAlign w:val="center"/>
          </w:tcPr>
          <w:p>
            <w:pPr>
              <w:pStyle w:val="13"/>
              <w:spacing w:before="0" w:beforeAutospacing="0" w:after="0" w:afterAutospacing="0" w:line="0" w:lineRule="atLeast"/>
              <w:jc w:val="center"/>
              <w:rPr>
                <w:rFonts w:hint="eastAsia"/>
              </w:rPr>
            </w:pPr>
          </w:p>
        </w:tc>
        <w:tc>
          <w:tcPr>
            <w:tcW w:w="1276" w:type="dxa"/>
            <w:vAlign w:val="center"/>
          </w:tcPr>
          <w:p>
            <w:pPr>
              <w:pStyle w:val="13"/>
              <w:spacing w:before="0" w:beforeAutospacing="0" w:after="0" w:afterAutospacing="0" w:line="0" w:lineRule="atLeast"/>
              <w:jc w:val="center"/>
              <w:rPr>
                <w:rFonts w:hint="eastAsia"/>
              </w:rPr>
            </w:pPr>
            <w:r>
              <w:rPr>
                <w:rFonts w:hint="eastAsia"/>
              </w:rPr>
              <w:t>通识</w:t>
            </w:r>
          </w:p>
          <w:p>
            <w:pPr>
              <w:pStyle w:val="13"/>
              <w:spacing w:before="0" w:beforeAutospacing="0" w:after="0" w:afterAutospacing="0" w:line="0" w:lineRule="atLeast"/>
              <w:jc w:val="center"/>
              <w:rPr>
                <w:rFonts w:hint="eastAsia"/>
              </w:rPr>
            </w:pPr>
            <w:r>
              <w:rPr>
                <w:rFonts w:hint="eastAsia"/>
              </w:rPr>
              <w:t>选修课程</w:t>
            </w:r>
          </w:p>
        </w:tc>
        <w:tc>
          <w:tcPr>
            <w:tcW w:w="3685" w:type="dxa"/>
            <w:vAlign w:val="center"/>
          </w:tcPr>
          <w:p>
            <w:pPr>
              <w:pStyle w:val="13"/>
              <w:spacing w:before="0" w:beforeAutospacing="0" w:after="0" w:afterAutospacing="0" w:line="0" w:lineRule="atLeast"/>
              <w:jc w:val="both"/>
              <w:rPr>
                <w:rFonts w:hint="eastAsia"/>
              </w:rPr>
            </w:pPr>
            <w:r>
              <w:rPr>
                <w:rFonts w:hint="eastAsia"/>
              </w:rPr>
              <w:t>包括艺术类选修课等</w:t>
            </w:r>
          </w:p>
        </w:tc>
        <w:tc>
          <w:tcPr>
            <w:tcW w:w="1701" w:type="dxa"/>
            <w:vAlign w:val="center"/>
          </w:tcPr>
          <w:p>
            <w:pPr>
              <w:pStyle w:val="13"/>
              <w:spacing w:before="0" w:beforeAutospacing="0" w:after="0" w:afterAutospacing="0" w:line="0" w:lineRule="atLeast"/>
              <w:jc w:val="center"/>
              <w:rPr>
                <w:rFonts w:hint="eastAsia"/>
              </w:rPr>
            </w:pPr>
            <w:r>
              <w:rPr>
                <w:rFonts w:hint="eastAsia"/>
              </w:rPr>
              <w:t>≥4学分</w:t>
            </w:r>
          </w:p>
          <w:p>
            <w:pPr>
              <w:pStyle w:val="13"/>
              <w:spacing w:before="0" w:beforeAutospacing="0" w:after="0" w:afterAutospacing="0" w:line="0" w:lineRule="atLeast"/>
              <w:jc w:val="center"/>
              <w:rPr>
                <w:rFonts w:hint="eastAsia"/>
              </w:rPr>
            </w:pPr>
            <w:r>
              <w:rPr>
                <w:rFonts w:hint="eastAsia"/>
              </w:rPr>
              <w:t>（2%～3%）</w:t>
            </w:r>
          </w:p>
          <w:p>
            <w:pPr>
              <w:pStyle w:val="13"/>
              <w:spacing w:before="0" w:beforeAutospacing="0" w:after="0" w:afterAutospacing="0" w:line="0" w:lineRule="atLeast"/>
              <w:jc w:val="center"/>
              <w:rPr>
                <w:rFonts w:hint="eastAsia"/>
              </w:rPr>
            </w:pPr>
            <w:r>
              <w:rPr>
                <w:rFonts w:hint="eastAsia"/>
              </w:rPr>
              <w:t>（包括艺术类2学分）</w:t>
            </w:r>
          </w:p>
        </w:tc>
        <w:tc>
          <w:tcPr>
            <w:tcW w:w="1580" w:type="dxa"/>
            <w:tcBorders>
              <w:right w:val="single" w:color="auto" w:sz="12" w:space="0"/>
            </w:tcBorders>
            <w:vAlign w:val="center"/>
          </w:tcPr>
          <w:p>
            <w:pPr>
              <w:pStyle w:val="13"/>
              <w:spacing w:before="0" w:beforeAutospacing="0" w:after="0" w:afterAutospacing="0" w:line="0" w:lineRule="atLeast"/>
              <w:jc w:val="center"/>
              <w:rPr>
                <w:rFonts w:hint="eastAsia"/>
              </w:rPr>
            </w:pPr>
            <w:r>
              <w:rPr>
                <w:rFonts w:hint="eastAsia"/>
              </w:rPr>
              <w:t>≥6学分（2%～3%）</w:t>
            </w:r>
          </w:p>
          <w:p>
            <w:pPr>
              <w:pStyle w:val="13"/>
              <w:spacing w:before="0" w:beforeAutospacing="0" w:after="0" w:afterAutospacing="0" w:line="0" w:lineRule="atLeast"/>
              <w:jc w:val="center"/>
              <w:rPr>
                <w:rFonts w:hint="eastAsia"/>
              </w:rPr>
            </w:pPr>
            <w:r>
              <w:rPr>
                <w:rFonts w:hint="eastAsia"/>
              </w:rPr>
              <w:t>（包括艺术类2学分）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tcBorders>
              <w:left w:val="single" w:color="auto" w:sz="12" w:space="0"/>
            </w:tcBorders>
            <w:shd w:val="clear" w:color="auto" w:fill="FFFFCC"/>
            <w:vAlign w:val="center"/>
          </w:tcPr>
          <w:p>
            <w:pPr>
              <w:pStyle w:val="13"/>
              <w:spacing w:before="0" w:beforeAutospacing="0" w:after="0" w:afterAutospacing="0" w:line="0" w:lineRule="atLeast"/>
              <w:jc w:val="center"/>
              <w:rPr>
                <w:rFonts w:hint="eastAsia"/>
              </w:rPr>
            </w:pPr>
            <w:r>
              <w:rPr>
                <w:rFonts w:hint="eastAsia"/>
              </w:rPr>
              <w:t>专业</w:t>
            </w:r>
          </w:p>
          <w:p>
            <w:pPr>
              <w:pStyle w:val="13"/>
              <w:spacing w:before="0" w:beforeAutospacing="0" w:after="0" w:afterAutospacing="0" w:line="0" w:lineRule="atLeast"/>
              <w:jc w:val="center"/>
              <w:rPr>
                <w:rFonts w:hint="eastAsia"/>
              </w:rPr>
            </w:pPr>
            <w:r>
              <w:rPr>
                <w:rFonts w:hint="eastAsia"/>
              </w:rPr>
              <w:t>教育</w:t>
            </w:r>
          </w:p>
          <w:p>
            <w:pPr>
              <w:pStyle w:val="13"/>
              <w:spacing w:before="0" w:beforeAutospacing="0" w:after="0" w:afterAutospacing="0" w:line="0" w:lineRule="atLeast"/>
              <w:jc w:val="center"/>
              <w:rPr>
                <w:rFonts w:hint="eastAsia"/>
              </w:rPr>
            </w:pPr>
            <w:r>
              <w:rPr>
                <w:rFonts w:hint="eastAsia"/>
              </w:rPr>
              <w:t>课程</w:t>
            </w:r>
          </w:p>
        </w:tc>
        <w:tc>
          <w:tcPr>
            <w:tcW w:w="1276" w:type="dxa"/>
            <w:vAlign w:val="center"/>
          </w:tcPr>
          <w:p>
            <w:pPr>
              <w:pStyle w:val="13"/>
              <w:spacing w:before="0" w:beforeAutospacing="0" w:after="0" w:afterAutospacing="0" w:line="0" w:lineRule="atLeast"/>
              <w:jc w:val="center"/>
              <w:rPr>
                <w:rFonts w:hint="eastAsia"/>
              </w:rPr>
            </w:pPr>
            <w:r>
              <w:rPr>
                <w:rFonts w:hint="eastAsia"/>
              </w:rPr>
              <w:t>专业</w:t>
            </w:r>
          </w:p>
          <w:p>
            <w:pPr>
              <w:pStyle w:val="13"/>
              <w:spacing w:before="0" w:beforeAutospacing="0" w:after="0" w:afterAutospacing="0" w:line="0" w:lineRule="atLeast"/>
              <w:jc w:val="center"/>
              <w:rPr>
                <w:rFonts w:hint="eastAsia"/>
              </w:rPr>
            </w:pPr>
            <w:r>
              <w:rPr>
                <w:rFonts w:hint="eastAsia"/>
              </w:rPr>
              <w:t>基础课程</w:t>
            </w:r>
          </w:p>
        </w:tc>
        <w:tc>
          <w:tcPr>
            <w:tcW w:w="3685" w:type="dxa"/>
            <w:vAlign w:val="center"/>
          </w:tcPr>
          <w:p>
            <w:pPr>
              <w:pStyle w:val="13"/>
              <w:spacing w:before="0" w:beforeAutospacing="0" w:after="0" w:afterAutospacing="0" w:line="0" w:lineRule="atLeast"/>
              <w:jc w:val="both"/>
              <w:rPr>
                <w:rFonts w:hint="eastAsia"/>
              </w:rPr>
            </w:pPr>
            <w:r>
              <w:rPr>
                <w:rFonts w:hint="eastAsia"/>
              </w:rPr>
              <w:t>包括公共基础课、学科基础课等</w:t>
            </w:r>
          </w:p>
        </w:tc>
        <w:tc>
          <w:tcPr>
            <w:tcW w:w="3281" w:type="dxa"/>
            <w:gridSpan w:val="2"/>
            <w:tcBorders>
              <w:right w:val="single" w:color="auto" w:sz="12" w:space="0"/>
            </w:tcBorders>
            <w:vAlign w:val="center"/>
          </w:tcPr>
          <w:p>
            <w:pPr>
              <w:widowControl/>
              <w:spacing w:line="0" w:lineRule="atLeast"/>
              <w:rPr>
                <w:rFonts w:ascii="宋体" w:hAnsi="宋体" w:cs="宋体"/>
                <w:kern w:val="0"/>
                <w:sz w:val="24"/>
              </w:rPr>
            </w:pPr>
            <w:r>
              <w:rPr>
                <w:rFonts w:hint="eastAsia" w:ascii="宋体" w:hAnsi="宋体" w:cs="宋体"/>
                <w:kern w:val="0"/>
                <w:sz w:val="24"/>
              </w:rPr>
              <w:t xml:space="preserve">学分比例：25%～30%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left w:val="single" w:color="auto" w:sz="12" w:space="0"/>
            </w:tcBorders>
            <w:shd w:val="clear" w:color="auto" w:fill="FFFFCC"/>
            <w:vAlign w:val="center"/>
          </w:tcPr>
          <w:p>
            <w:pPr>
              <w:pStyle w:val="13"/>
              <w:spacing w:before="0" w:beforeAutospacing="0" w:after="0" w:afterAutospacing="0" w:line="0" w:lineRule="atLeast"/>
              <w:jc w:val="center"/>
              <w:rPr>
                <w:rFonts w:hint="eastAsia"/>
              </w:rPr>
            </w:pPr>
          </w:p>
        </w:tc>
        <w:tc>
          <w:tcPr>
            <w:tcW w:w="1276" w:type="dxa"/>
            <w:vAlign w:val="center"/>
          </w:tcPr>
          <w:p>
            <w:pPr>
              <w:pStyle w:val="13"/>
              <w:spacing w:before="0" w:beforeAutospacing="0" w:after="0" w:afterAutospacing="0" w:line="0" w:lineRule="atLeast"/>
              <w:jc w:val="center"/>
              <w:rPr>
                <w:rFonts w:hint="eastAsia"/>
              </w:rPr>
            </w:pPr>
            <w:r>
              <w:rPr>
                <w:rFonts w:hint="eastAsia"/>
              </w:rPr>
              <w:t>专业</w:t>
            </w:r>
          </w:p>
          <w:p>
            <w:pPr>
              <w:pStyle w:val="13"/>
              <w:spacing w:before="0" w:beforeAutospacing="0" w:after="0" w:afterAutospacing="0" w:line="0" w:lineRule="atLeast"/>
              <w:jc w:val="center"/>
              <w:rPr>
                <w:rFonts w:hint="eastAsia"/>
              </w:rPr>
            </w:pPr>
            <w:r>
              <w:rPr>
                <w:rFonts w:hint="eastAsia"/>
              </w:rPr>
              <w:t>课程</w:t>
            </w:r>
          </w:p>
        </w:tc>
        <w:tc>
          <w:tcPr>
            <w:tcW w:w="3685" w:type="dxa"/>
            <w:vAlign w:val="center"/>
          </w:tcPr>
          <w:p>
            <w:pPr>
              <w:pStyle w:val="13"/>
              <w:spacing w:before="0" w:beforeAutospacing="0" w:after="0" w:afterAutospacing="0" w:line="0" w:lineRule="atLeast"/>
              <w:jc w:val="both"/>
              <w:rPr>
                <w:rFonts w:hint="eastAsia"/>
              </w:rPr>
            </w:pPr>
            <w:r>
              <w:rPr>
                <w:rFonts w:hint="eastAsia"/>
              </w:rPr>
              <w:t>包括专业核心课等</w:t>
            </w:r>
          </w:p>
        </w:tc>
        <w:tc>
          <w:tcPr>
            <w:tcW w:w="3281" w:type="dxa"/>
            <w:gridSpan w:val="2"/>
            <w:tcBorders>
              <w:right w:val="single" w:color="auto" w:sz="12" w:space="0"/>
            </w:tcBorders>
            <w:vAlign w:val="center"/>
          </w:tcPr>
          <w:p>
            <w:pPr>
              <w:widowControl/>
              <w:spacing w:line="0" w:lineRule="atLeast"/>
              <w:rPr>
                <w:rFonts w:ascii="宋体" w:hAnsi="宋体" w:cs="宋体"/>
                <w:kern w:val="0"/>
                <w:sz w:val="24"/>
              </w:rPr>
            </w:pPr>
            <w:r>
              <w:rPr>
                <w:rFonts w:hint="eastAsia" w:ascii="宋体" w:hAnsi="宋体" w:cs="宋体"/>
                <w:kern w:val="0"/>
                <w:sz w:val="24"/>
              </w:rPr>
              <w:t>学分比例：30%～35%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left w:val="single" w:color="auto" w:sz="12" w:space="0"/>
            </w:tcBorders>
            <w:shd w:val="clear" w:color="auto" w:fill="FFFFCC"/>
            <w:vAlign w:val="center"/>
          </w:tcPr>
          <w:p>
            <w:pPr>
              <w:pStyle w:val="13"/>
              <w:spacing w:before="0" w:beforeAutospacing="0" w:after="0" w:afterAutospacing="0" w:line="0" w:lineRule="atLeast"/>
              <w:jc w:val="center"/>
              <w:rPr>
                <w:rFonts w:hint="eastAsia"/>
              </w:rPr>
            </w:pPr>
          </w:p>
        </w:tc>
        <w:tc>
          <w:tcPr>
            <w:tcW w:w="1276" w:type="dxa"/>
            <w:vAlign w:val="center"/>
          </w:tcPr>
          <w:p>
            <w:pPr>
              <w:pStyle w:val="13"/>
              <w:spacing w:before="0" w:beforeAutospacing="0" w:after="0" w:afterAutospacing="0" w:line="0" w:lineRule="atLeast"/>
              <w:jc w:val="center"/>
              <w:rPr>
                <w:rFonts w:hint="eastAsia"/>
              </w:rPr>
            </w:pPr>
            <w:r>
              <w:rPr>
                <w:rFonts w:hint="eastAsia"/>
              </w:rPr>
              <w:t>专业</w:t>
            </w:r>
          </w:p>
          <w:p>
            <w:pPr>
              <w:pStyle w:val="13"/>
              <w:spacing w:before="0" w:beforeAutospacing="0" w:after="0" w:afterAutospacing="0" w:line="0" w:lineRule="atLeast"/>
              <w:jc w:val="center"/>
              <w:rPr>
                <w:rFonts w:hint="eastAsia"/>
              </w:rPr>
            </w:pPr>
            <w:r>
              <w:rPr>
                <w:rFonts w:hint="eastAsia"/>
              </w:rPr>
              <w:t>拓展课程</w:t>
            </w:r>
          </w:p>
        </w:tc>
        <w:tc>
          <w:tcPr>
            <w:tcW w:w="3685" w:type="dxa"/>
            <w:vAlign w:val="center"/>
          </w:tcPr>
          <w:p>
            <w:pPr>
              <w:pStyle w:val="13"/>
              <w:spacing w:before="0" w:beforeAutospacing="0" w:after="0" w:afterAutospacing="0" w:line="0" w:lineRule="atLeast"/>
              <w:jc w:val="both"/>
              <w:rPr>
                <w:rFonts w:hint="eastAsia"/>
              </w:rPr>
            </w:pPr>
            <w:r>
              <w:rPr>
                <w:rFonts w:hint="eastAsia"/>
              </w:rPr>
              <w:t>包括学科交叉和前沿知识课程</w:t>
            </w:r>
          </w:p>
        </w:tc>
        <w:tc>
          <w:tcPr>
            <w:tcW w:w="3281" w:type="dxa"/>
            <w:gridSpan w:val="2"/>
            <w:tcBorders>
              <w:right w:val="single" w:color="auto" w:sz="12" w:space="0"/>
            </w:tcBorders>
            <w:vAlign w:val="center"/>
          </w:tcPr>
          <w:p>
            <w:pPr>
              <w:pStyle w:val="13"/>
              <w:spacing w:before="0" w:beforeAutospacing="0" w:after="0" w:afterAutospacing="0" w:line="0" w:lineRule="atLeast"/>
              <w:jc w:val="both"/>
              <w:rPr>
                <w:rFonts w:hint="eastAsia"/>
              </w:rPr>
            </w:pPr>
            <w:r>
              <w:rPr>
                <w:rFonts w:hint="eastAsia"/>
              </w:rPr>
              <w:t>学分比例：1%～2%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tcBorders>
              <w:left w:val="single" w:color="auto" w:sz="12" w:space="0"/>
              <w:bottom w:val="single" w:color="auto" w:sz="4" w:space="0"/>
            </w:tcBorders>
            <w:shd w:val="clear" w:color="auto" w:fill="FFFFCC"/>
            <w:vAlign w:val="center"/>
          </w:tcPr>
          <w:p>
            <w:pPr>
              <w:pStyle w:val="13"/>
              <w:spacing w:before="0" w:beforeAutospacing="0" w:after="0" w:afterAutospacing="0" w:line="0" w:lineRule="atLeast"/>
              <w:jc w:val="center"/>
              <w:rPr>
                <w:rFonts w:hint="eastAsia"/>
              </w:rPr>
            </w:pPr>
          </w:p>
        </w:tc>
        <w:tc>
          <w:tcPr>
            <w:tcW w:w="1276" w:type="dxa"/>
            <w:tcBorders>
              <w:bottom w:val="single" w:color="auto" w:sz="4" w:space="0"/>
            </w:tcBorders>
            <w:vAlign w:val="center"/>
          </w:tcPr>
          <w:p>
            <w:pPr>
              <w:pStyle w:val="13"/>
              <w:spacing w:before="0" w:beforeAutospacing="0" w:after="0" w:afterAutospacing="0" w:line="0" w:lineRule="atLeast"/>
              <w:jc w:val="center"/>
              <w:rPr>
                <w:rFonts w:hint="eastAsia"/>
              </w:rPr>
            </w:pPr>
            <w:r>
              <w:rPr>
                <w:rFonts w:hint="eastAsia"/>
              </w:rPr>
              <w:t>专业</w:t>
            </w:r>
          </w:p>
          <w:p>
            <w:pPr>
              <w:pStyle w:val="13"/>
              <w:spacing w:before="0" w:beforeAutospacing="0" w:after="0" w:afterAutospacing="0" w:line="0" w:lineRule="atLeast"/>
              <w:jc w:val="center"/>
              <w:rPr>
                <w:rFonts w:hint="eastAsia"/>
              </w:rPr>
            </w:pPr>
            <w:r>
              <w:rPr>
                <w:rFonts w:hint="eastAsia"/>
              </w:rPr>
              <w:t>选修课程</w:t>
            </w:r>
          </w:p>
        </w:tc>
        <w:tc>
          <w:tcPr>
            <w:tcW w:w="3685" w:type="dxa"/>
            <w:tcBorders>
              <w:bottom w:val="single" w:color="auto" w:sz="4" w:space="0"/>
            </w:tcBorders>
            <w:vAlign w:val="center"/>
          </w:tcPr>
          <w:p>
            <w:pPr>
              <w:pStyle w:val="13"/>
              <w:spacing w:before="0" w:beforeAutospacing="0" w:after="0" w:afterAutospacing="0" w:line="0" w:lineRule="atLeast"/>
              <w:jc w:val="both"/>
              <w:rPr>
                <w:rFonts w:hint="eastAsia"/>
              </w:rPr>
            </w:pPr>
            <w:r>
              <w:rPr>
                <w:rFonts w:hint="eastAsia"/>
              </w:rPr>
              <w:t>包括专业相关各类选修课</w:t>
            </w:r>
          </w:p>
        </w:tc>
        <w:tc>
          <w:tcPr>
            <w:tcW w:w="3281" w:type="dxa"/>
            <w:gridSpan w:val="2"/>
            <w:tcBorders>
              <w:bottom w:val="single" w:color="auto" w:sz="4" w:space="0"/>
              <w:right w:val="single" w:color="auto" w:sz="12" w:space="0"/>
            </w:tcBorders>
            <w:vAlign w:val="center"/>
          </w:tcPr>
          <w:p>
            <w:pPr>
              <w:pStyle w:val="13"/>
              <w:spacing w:before="0" w:beforeAutospacing="0" w:after="0" w:afterAutospacing="0" w:line="0" w:lineRule="atLeast"/>
              <w:jc w:val="both"/>
              <w:rPr>
                <w:rFonts w:hint="eastAsia"/>
              </w:rPr>
            </w:pPr>
            <w:r>
              <w:rPr>
                <w:rFonts w:hint="eastAsia"/>
              </w:rPr>
              <w:t>≥8学分（3%～5%）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093" w:type="dxa"/>
            <w:gridSpan w:val="2"/>
            <w:tcBorders>
              <w:left w:val="single" w:color="auto" w:sz="12" w:space="0"/>
              <w:bottom w:val="single" w:color="auto" w:sz="12" w:space="0"/>
            </w:tcBorders>
            <w:shd w:val="clear" w:color="auto" w:fill="FFFFCC"/>
            <w:vAlign w:val="center"/>
          </w:tcPr>
          <w:p>
            <w:pPr>
              <w:pStyle w:val="13"/>
              <w:pBdr>
                <w:left w:val="single" w:color="auto" w:sz="12" w:space="4"/>
              </w:pBdr>
              <w:spacing w:before="0" w:beforeAutospacing="0" w:after="0" w:afterAutospacing="0" w:line="0" w:lineRule="atLeast"/>
              <w:jc w:val="center"/>
              <w:rPr>
                <w:rFonts w:hint="eastAsia"/>
              </w:rPr>
            </w:pPr>
            <w:r>
              <w:rPr>
                <w:rFonts w:hint="eastAsia"/>
              </w:rPr>
              <w:t>实践环节</w:t>
            </w:r>
          </w:p>
        </w:tc>
        <w:tc>
          <w:tcPr>
            <w:tcW w:w="6966" w:type="dxa"/>
            <w:gridSpan w:val="3"/>
            <w:tcBorders>
              <w:bottom w:val="single" w:color="auto" w:sz="12" w:space="0"/>
              <w:right w:val="single" w:color="auto" w:sz="12" w:space="0"/>
            </w:tcBorders>
            <w:vAlign w:val="center"/>
          </w:tcPr>
          <w:p>
            <w:pPr>
              <w:pStyle w:val="13"/>
              <w:spacing w:before="0" w:beforeAutospacing="0" w:after="0" w:afterAutospacing="0" w:line="0" w:lineRule="atLeast"/>
              <w:jc w:val="both"/>
              <w:rPr>
                <w:rFonts w:hint="eastAsia"/>
                <w:bCs/>
              </w:rPr>
            </w:pPr>
            <w:r>
              <w:rPr>
                <w:rFonts w:hint="eastAsia"/>
              </w:rPr>
              <w:t>包括集中实践（含实习、毕业设计/论文等）及课外实践</w:t>
            </w:r>
          </w:p>
        </w:tc>
      </w:tr>
    </w:tbl>
    <w:p>
      <w:pPr>
        <w:pStyle w:val="13"/>
        <w:shd w:val="clear" w:color="auto" w:fill="FFFFFF"/>
        <w:adjustRightInd w:val="0"/>
        <w:snapToGrid w:val="0"/>
        <w:spacing w:before="0" w:beforeAutospacing="0" w:after="0" w:afterAutospacing="0" w:line="360" w:lineRule="auto"/>
        <w:rPr>
          <w:rFonts w:hint="eastAsia" w:ascii="黑体" w:hAnsi="黑体" w:eastAsia="黑体"/>
          <w:sz w:val="21"/>
          <w:szCs w:val="21"/>
        </w:rPr>
      </w:pPr>
    </w:p>
    <w:p>
      <w:pPr>
        <w:pStyle w:val="13"/>
        <w:shd w:val="clear" w:color="auto" w:fill="FFFFFF"/>
        <w:adjustRightInd w:val="0"/>
        <w:snapToGrid w:val="0"/>
        <w:spacing w:before="0" w:beforeAutospacing="0" w:after="0" w:afterAutospacing="0" w:line="360" w:lineRule="auto"/>
        <w:ind w:firstLine="640" w:firstLineChars="200"/>
        <w:jc w:val="both"/>
        <w:rPr>
          <w:rFonts w:hint="eastAsia" w:ascii="黑体" w:hAnsi="黑体" w:eastAsia="黑体"/>
          <w:sz w:val="32"/>
          <w:szCs w:val="32"/>
        </w:rPr>
      </w:pPr>
      <w:r>
        <w:rPr>
          <w:rFonts w:hint="eastAsia" w:ascii="黑体" w:hAnsi="黑体" w:eastAsia="黑体"/>
          <w:sz w:val="32"/>
          <w:szCs w:val="32"/>
        </w:rPr>
        <w:t>五、相关要求</w:t>
      </w:r>
    </w:p>
    <w:p>
      <w:pPr>
        <w:pStyle w:val="13"/>
        <w:shd w:val="clear" w:color="auto" w:fill="FFFFFF"/>
        <w:adjustRightInd w:val="0"/>
        <w:snapToGrid w:val="0"/>
        <w:spacing w:before="0" w:beforeAutospacing="0" w:after="0" w:afterAutospacing="0" w:line="360" w:lineRule="auto"/>
        <w:ind w:firstLine="643" w:firstLineChars="200"/>
        <w:jc w:val="both"/>
        <w:rPr>
          <w:rFonts w:hint="eastAsia" w:ascii="楷体_GB2312" w:hAnsi="楷体" w:eastAsia="楷体_GB2312"/>
          <w:b/>
          <w:sz w:val="32"/>
          <w:szCs w:val="32"/>
        </w:rPr>
      </w:pPr>
      <w:r>
        <w:rPr>
          <w:rFonts w:hint="eastAsia" w:ascii="楷体_GB2312" w:hAnsi="楷体" w:eastAsia="楷体_GB2312"/>
          <w:b/>
          <w:sz w:val="32"/>
          <w:szCs w:val="32"/>
        </w:rPr>
        <w:t>（一）修订程序</w:t>
      </w:r>
    </w:p>
    <w:p>
      <w:pPr>
        <w:pStyle w:val="13"/>
        <w:shd w:val="clear" w:color="auto" w:fill="FFFFFF"/>
        <w:adjustRightInd w:val="0"/>
        <w:snapToGrid w:val="0"/>
        <w:spacing w:before="0" w:beforeAutospacing="0" w:after="0" w:afterAutospacing="0" w:line="360" w:lineRule="auto"/>
        <w:ind w:firstLine="640" w:firstLineChars="200"/>
        <w:jc w:val="both"/>
        <w:rPr>
          <w:rFonts w:hint="eastAsia" w:ascii="楷体_GB2312" w:hAnsi="楷体" w:eastAsia="楷体_GB2312"/>
          <w:b/>
          <w:sz w:val="32"/>
          <w:szCs w:val="32"/>
        </w:rPr>
      </w:pPr>
      <w:r>
        <w:rPr>
          <w:rFonts w:hint="eastAsia" w:ascii="仿宋_GB2312" w:hAnsi="楷体" w:eastAsia="仿宋_GB2312"/>
          <w:sz w:val="32"/>
          <w:szCs w:val="32"/>
        </w:rPr>
        <w:t>1.各专业所在单位应高度重视培养方案修订工作，成立培养</w:t>
      </w:r>
    </w:p>
    <w:p>
      <w:pPr>
        <w:pStyle w:val="13"/>
        <w:shd w:val="clear" w:color="auto" w:fill="FFFFFF"/>
        <w:adjustRightInd w:val="0"/>
        <w:snapToGrid w:val="0"/>
        <w:spacing w:before="0" w:beforeAutospacing="0" w:after="0" w:afterAutospacing="0" w:line="360" w:lineRule="auto"/>
        <w:jc w:val="both"/>
        <w:rPr>
          <w:rFonts w:hint="eastAsia" w:ascii="仿宋_GB2312" w:hAnsi="楷体" w:eastAsia="仿宋_GB2312"/>
          <w:sz w:val="32"/>
          <w:szCs w:val="32"/>
        </w:rPr>
      </w:pPr>
      <w:r>
        <w:rPr>
          <w:rFonts w:hint="eastAsia" w:ascii="仿宋_GB2312" w:hAnsi="楷体" w:eastAsia="仿宋_GB2312"/>
          <w:sz w:val="32"/>
          <w:szCs w:val="32"/>
        </w:rPr>
        <w:t>方案修订工作领导小组，院长任组长，分管教学副院长任副组长，专业负责人、骨干教师、校外同行专家、企事业单位专家、上级主管部门专家、用人单位、学生家长、学生代表共同参与，其中校外专家不少于三分之一。由领导小组负责制定培养方案修订细则，组织完成修订任务，保证培养方案质量。</w:t>
      </w:r>
    </w:p>
    <w:p>
      <w:pPr>
        <w:pStyle w:val="13"/>
        <w:shd w:val="clear" w:color="auto" w:fill="FFFFFF"/>
        <w:adjustRightInd w:val="0"/>
        <w:snapToGrid w:val="0"/>
        <w:spacing w:before="0" w:beforeAutospacing="0" w:after="0" w:afterAutospacing="0" w:line="360" w:lineRule="auto"/>
        <w:ind w:firstLine="640" w:firstLineChars="200"/>
        <w:jc w:val="both"/>
        <w:rPr>
          <w:rFonts w:hint="eastAsia" w:ascii="仿宋_GB2312" w:hAnsi="楷体" w:eastAsia="仿宋_GB2312"/>
          <w:sz w:val="32"/>
          <w:szCs w:val="32"/>
        </w:rPr>
      </w:pPr>
      <w:r>
        <w:rPr>
          <w:rFonts w:hint="eastAsia" w:ascii="仿宋_GB2312" w:hAnsi="楷体" w:eastAsia="仿宋_GB2312"/>
          <w:sz w:val="32"/>
          <w:szCs w:val="32"/>
        </w:rPr>
        <w:t>2.各专业所在单位应全面梳理、总结2017版培养方案运行中的成功经验及不足，结合《国标》，广泛征求校外同行专家、企事业单位专家、上级主管部门专家、用人单位、学生家长、学生代表的意见及建议，合理采纳、充分论证、调研，研究制定人才培养方案。同时，应做好涉及其他教学单位开设课程的沟通协调工作，形成培养方案初稿后报教务处。</w:t>
      </w:r>
    </w:p>
    <w:p>
      <w:pPr>
        <w:pStyle w:val="13"/>
        <w:shd w:val="clear" w:color="auto" w:fill="FFFFFF"/>
        <w:adjustRightInd w:val="0"/>
        <w:snapToGrid w:val="0"/>
        <w:spacing w:before="0" w:beforeAutospacing="0" w:after="0" w:afterAutospacing="0" w:line="360" w:lineRule="auto"/>
        <w:ind w:firstLine="640" w:firstLineChars="200"/>
        <w:jc w:val="both"/>
        <w:rPr>
          <w:rFonts w:hint="eastAsia" w:ascii="仿宋_GB2312" w:hAnsi="楷体" w:eastAsia="仿宋_GB2312"/>
          <w:sz w:val="32"/>
          <w:szCs w:val="32"/>
        </w:rPr>
      </w:pPr>
      <w:r>
        <w:rPr>
          <w:rFonts w:hint="eastAsia" w:ascii="仿宋_GB2312" w:hAnsi="楷体" w:eastAsia="仿宋_GB2312"/>
          <w:sz w:val="32"/>
          <w:szCs w:val="32"/>
        </w:rPr>
        <w:t>3.各课程承担单位应按指导意见的要求，科学设置课程学时及开课学期，做好课程建设工作，由教务处牵头，对通识类课程及公共专业基础课程进行集中论证。</w:t>
      </w:r>
    </w:p>
    <w:p>
      <w:pPr>
        <w:pStyle w:val="13"/>
        <w:shd w:val="clear" w:color="auto" w:fill="FFFFFF"/>
        <w:adjustRightInd w:val="0"/>
        <w:snapToGrid w:val="0"/>
        <w:spacing w:before="0" w:beforeAutospacing="0" w:after="0" w:afterAutospacing="0" w:line="360" w:lineRule="auto"/>
        <w:ind w:firstLine="640" w:firstLineChars="200"/>
        <w:jc w:val="both"/>
        <w:rPr>
          <w:rFonts w:hint="eastAsia" w:ascii="仿宋_GB2312" w:hAnsi="楷体" w:eastAsia="仿宋_GB2312"/>
          <w:sz w:val="32"/>
          <w:szCs w:val="32"/>
        </w:rPr>
      </w:pPr>
      <w:r>
        <w:rPr>
          <w:rFonts w:hint="eastAsia" w:ascii="仿宋_GB2312" w:hAnsi="楷体" w:eastAsia="仿宋_GB2312"/>
          <w:sz w:val="32"/>
          <w:szCs w:val="32"/>
        </w:rPr>
        <w:t>4.学院成立培养方案修订工作领导小组，组织开展人才培养方案修订调研、论证，召开师生座谈会，形成培养方案（草案），提交学院教学指导委员会论证，形成培养方案（讨论稿），最后提交学院党委常委会审议，审议通过后由教务处备案并公布执行。</w:t>
      </w:r>
    </w:p>
    <w:p>
      <w:pPr>
        <w:pStyle w:val="13"/>
        <w:shd w:val="clear" w:color="auto" w:fill="FFFFFF"/>
        <w:adjustRightInd w:val="0"/>
        <w:snapToGrid w:val="0"/>
        <w:spacing w:before="0" w:beforeAutospacing="0" w:after="0" w:afterAutospacing="0" w:line="360" w:lineRule="auto"/>
        <w:ind w:firstLine="643" w:firstLineChars="200"/>
        <w:jc w:val="both"/>
        <w:rPr>
          <w:rFonts w:hint="eastAsia" w:ascii="楷体_GB2312" w:hAnsi="楷体" w:eastAsia="楷体_GB2312"/>
          <w:b/>
          <w:sz w:val="32"/>
          <w:szCs w:val="32"/>
        </w:rPr>
      </w:pPr>
      <w:r>
        <w:rPr>
          <w:rFonts w:hint="eastAsia" w:ascii="楷体_GB2312" w:hAnsi="楷体" w:eastAsia="楷体_GB2312"/>
          <w:b/>
          <w:sz w:val="32"/>
          <w:szCs w:val="32"/>
        </w:rPr>
        <w:t>（二）执行时间</w:t>
      </w:r>
    </w:p>
    <w:p>
      <w:pPr>
        <w:pStyle w:val="13"/>
        <w:shd w:val="clear" w:color="auto" w:fill="FFFFFF"/>
        <w:adjustRightInd w:val="0"/>
        <w:snapToGrid w:val="0"/>
        <w:spacing w:before="0" w:beforeAutospacing="0" w:after="0" w:afterAutospacing="0" w:line="360" w:lineRule="auto"/>
        <w:ind w:firstLine="640" w:firstLineChars="200"/>
        <w:jc w:val="both"/>
        <w:rPr>
          <w:rFonts w:hint="eastAsia" w:ascii="黑体" w:hAnsi="黑体" w:eastAsia="黑体"/>
          <w:sz w:val="32"/>
          <w:szCs w:val="32"/>
        </w:rPr>
      </w:pPr>
      <w:r>
        <w:rPr>
          <w:rFonts w:hint="eastAsia" w:ascii="仿宋_GB2312" w:hAnsi="楷体" w:eastAsia="仿宋_GB2312"/>
          <w:sz w:val="32"/>
          <w:szCs w:val="32"/>
        </w:rPr>
        <w:t>新的统招本科人才培养方案从2022级开始执行。</w:t>
      </w:r>
    </w:p>
    <w:p>
      <w:pPr>
        <w:spacing w:line="500" w:lineRule="exact"/>
        <w:rPr>
          <w:rFonts w:hint="eastAsia" w:ascii="黑体" w:hAnsi="黑体" w:eastAsia="黑体"/>
          <w:sz w:val="32"/>
          <w:szCs w:val="32"/>
        </w:rPr>
      </w:pPr>
    </w:p>
    <w:sectPr>
      <w:footerReference r:id="rId3" w:type="default"/>
      <w:footerReference r:id="rId4" w:type="even"/>
      <w:pgSz w:w="11906" w:h="16838"/>
      <w:pgMar w:top="1985" w:right="1474" w:bottom="1418" w:left="1588" w:header="851" w:footer="1021"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华文中宋">
    <w:altName w:val="宋体"/>
    <w:panose1 w:val="00000000000000000000"/>
    <w:charset w:val="86"/>
    <w:family w:val="auto"/>
    <w:pitch w:val="default"/>
    <w:sig w:usb0="00000000" w:usb1="00000000" w:usb2="00000010" w:usb3="00000000" w:csb0="0004009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
    <w:altName w:val="Times New Roman"/>
    <w:panose1 w:val="00000000000000000000"/>
    <w:charset w:val="00"/>
    <w:family w:val="auto"/>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9"/>
        <w:rFonts w:ascii="宋体" w:hAnsi="宋体"/>
        <w:sz w:val="28"/>
        <w:szCs w:val="28"/>
      </w:rPr>
    </w:pPr>
    <w:r>
      <w:rPr>
        <w:rStyle w:val="19"/>
        <w:rFonts w:ascii="宋体" w:hAnsi="宋体"/>
        <w:sz w:val="28"/>
        <w:szCs w:val="28"/>
      </w:rPr>
      <w:fldChar w:fldCharType="begin"/>
    </w:r>
    <w:r>
      <w:rPr>
        <w:rStyle w:val="19"/>
        <w:rFonts w:ascii="宋体" w:hAnsi="宋体"/>
        <w:sz w:val="28"/>
        <w:szCs w:val="28"/>
      </w:rPr>
      <w:instrText xml:space="preserve">PAGE  </w:instrText>
    </w:r>
    <w:r>
      <w:rPr>
        <w:rStyle w:val="19"/>
        <w:rFonts w:ascii="宋体" w:hAnsi="宋体"/>
        <w:sz w:val="28"/>
        <w:szCs w:val="28"/>
      </w:rPr>
      <w:fldChar w:fldCharType="separate"/>
    </w:r>
    <w:r>
      <w:rPr>
        <w:rStyle w:val="19"/>
        <w:rFonts w:ascii="宋体" w:hAnsi="宋体"/>
        <w:sz w:val="28"/>
        <w:szCs w:val="28"/>
      </w:rPr>
      <w:t>- 12 -</w:t>
    </w:r>
    <w:r>
      <w:rPr>
        <w:rStyle w:val="19"/>
        <w:rFonts w:ascii="宋体" w:hAnsi="宋体"/>
        <w:sz w:val="28"/>
        <w:szCs w:val="28"/>
      </w:rPr>
      <w:fldChar w:fldCharType="end"/>
    </w: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9"/>
      </w:rPr>
    </w:pPr>
    <w:r>
      <w:rPr>
        <w:rStyle w:val="19"/>
      </w:rPr>
      <w:fldChar w:fldCharType="begin"/>
    </w:r>
    <w:r>
      <w:rPr>
        <w:rStyle w:val="19"/>
      </w:rPr>
      <w:instrText xml:space="preserve">PAGE  </w:instrText>
    </w:r>
    <w:r>
      <w:rPr>
        <w:rStyle w:val="19"/>
      </w:rPr>
      <w:fldChar w:fldCharType="end"/>
    </w:r>
  </w:p>
  <w:p>
    <w:pPr>
      <w:pStyle w:val="11"/>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118BA"/>
    <w:rsid w:val="00000DBC"/>
    <w:rsid w:val="00000ED4"/>
    <w:rsid w:val="00001205"/>
    <w:rsid w:val="00001842"/>
    <w:rsid w:val="00001CD3"/>
    <w:rsid w:val="00002BF2"/>
    <w:rsid w:val="00003279"/>
    <w:rsid w:val="00003A76"/>
    <w:rsid w:val="00004955"/>
    <w:rsid w:val="00004C99"/>
    <w:rsid w:val="00004CB0"/>
    <w:rsid w:val="00004F0B"/>
    <w:rsid w:val="000050D3"/>
    <w:rsid w:val="00005B6D"/>
    <w:rsid w:val="000067D4"/>
    <w:rsid w:val="00006A36"/>
    <w:rsid w:val="00006AAC"/>
    <w:rsid w:val="00006BA0"/>
    <w:rsid w:val="00007C03"/>
    <w:rsid w:val="00007E29"/>
    <w:rsid w:val="000111CB"/>
    <w:rsid w:val="00011D64"/>
    <w:rsid w:val="00011DB8"/>
    <w:rsid w:val="00012688"/>
    <w:rsid w:val="000126D4"/>
    <w:rsid w:val="000145DC"/>
    <w:rsid w:val="00014D03"/>
    <w:rsid w:val="00015347"/>
    <w:rsid w:val="0001554D"/>
    <w:rsid w:val="00015759"/>
    <w:rsid w:val="00015E7C"/>
    <w:rsid w:val="0001642F"/>
    <w:rsid w:val="000166E9"/>
    <w:rsid w:val="00016F16"/>
    <w:rsid w:val="00017A85"/>
    <w:rsid w:val="00017DBE"/>
    <w:rsid w:val="000200F3"/>
    <w:rsid w:val="00020A32"/>
    <w:rsid w:val="00020AD4"/>
    <w:rsid w:val="00020E9F"/>
    <w:rsid w:val="0002103E"/>
    <w:rsid w:val="000214EF"/>
    <w:rsid w:val="00021DB2"/>
    <w:rsid w:val="00021F6C"/>
    <w:rsid w:val="00022BEB"/>
    <w:rsid w:val="00023E95"/>
    <w:rsid w:val="00025551"/>
    <w:rsid w:val="0002571A"/>
    <w:rsid w:val="00025BFC"/>
    <w:rsid w:val="000262E0"/>
    <w:rsid w:val="00026D2A"/>
    <w:rsid w:val="00027523"/>
    <w:rsid w:val="00030539"/>
    <w:rsid w:val="0003066D"/>
    <w:rsid w:val="00030AD3"/>
    <w:rsid w:val="00030BF2"/>
    <w:rsid w:val="000310D4"/>
    <w:rsid w:val="0003123E"/>
    <w:rsid w:val="00031363"/>
    <w:rsid w:val="000314C4"/>
    <w:rsid w:val="000315E8"/>
    <w:rsid w:val="00031B8F"/>
    <w:rsid w:val="00031C6C"/>
    <w:rsid w:val="00031D03"/>
    <w:rsid w:val="000323E4"/>
    <w:rsid w:val="0003287D"/>
    <w:rsid w:val="00032A33"/>
    <w:rsid w:val="00032C96"/>
    <w:rsid w:val="000332E4"/>
    <w:rsid w:val="00034973"/>
    <w:rsid w:val="00034AF7"/>
    <w:rsid w:val="00034DD7"/>
    <w:rsid w:val="00035486"/>
    <w:rsid w:val="00035614"/>
    <w:rsid w:val="00035862"/>
    <w:rsid w:val="000369FF"/>
    <w:rsid w:val="00037D4D"/>
    <w:rsid w:val="00037E26"/>
    <w:rsid w:val="000400C4"/>
    <w:rsid w:val="00040560"/>
    <w:rsid w:val="00040C8B"/>
    <w:rsid w:val="00041B49"/>
    <w:rsid w:val="00041C6B"/>
    <w:rsid w:val="00042751"/>
    <w:rsid w:val="00045202"/>
    <w:rsid w:val="00045388"/>
    <w:rsid w:val="00045F11"/>
    <w:rsid w:val="000462C9"/>
    <w:rsid w:val="00046FB6"/>
    <w:rsid w:val="00047A88"/>
    <w:rsid w:val="000500E0"/>
    <w:rsid w:val="0005137C"/>
    <w:rsid w:val="00051E0A"/>
    <w:rsid w:val="00052549"/>
    <w:rsid w:val="00052B7B"/>
    <w:rsid w:val="00052CD7"/>
    <w:rsid w:val="00053E38"/>
    <w:rsid w:val="00054878"/>
    <w:rsid w:val="00055D40"/>
    <w:rsid w:val="00055E1E"/>
    <w:rsid w:val="0005643F"/>
    <w:rsid w:val="000564DC"/>
    <w:rsid w:val="000568B1"/>
    <w:rsid w:val="00056BBA"/>
    <w:rsid w:val="000578E1"/>
    <w:rsid w:val="00060A76"/>
    <w:rsid w:val="00061186"/>
    <w:rsid w:val="00061359"/>
    <w:rsid w:val="00061BD3"/>
    <w:rsid w:val="00061C66"/>
    <w:rsid w:val="000626DC"/>
    <w:rsid w:val="0006358D"/>
    <w:rsid w:val="0006393E"/>
    <w:rsid w:val="000640E5"/>
    <w:rsid w:val="00064585"/>
    <w:rsid w:val="0006532F"/>
    <w:rsid w:val="000657AE"/>
    <w:rsid w:val="00067318"/>
    <w:rsid w:val="0006764B"/>
    <w:rsid w:val="000679EB"/>
    <w:rsid w:val="00067DF2"/>
    <w:rsid w:val="000701FD"/>
    <w:rsid w:val="000720BC"/>
    <w:rsid w:val="000735EB"/>
    <w:rsid w:val="00074046"/>
    <w:rsid w:val="000740C2"/>
    <w:rsid w:val="0007420D"/>
    <w:rsid w:val="00074E29"/>
    <w:rsid w:val="00075049"/>
    <w:rsid w:val="000750DA"/>
    <w:rsid w:val="00076896"/>
    <w:rsid w:val="000768E8"/>
    <w:rsid w:val="000771AA"/>
    <w:rsid w:val="00082024"/>
    <w:rsid w:val="00082EB1"/>
    <w:rsid w:val="00084B09"/>
    <w:rsid w:val="00085D62"/>
    <w:rsid w:val="00086982"/>
    <w:rsid w:val="000876F5"/>
    <w:rsid w:val="00087A2D"/>
    <w:rsid w:val="00090913"/>
    <w:rsid w:val="00091406"/>
    <w:rsid w:val="00091EC3"/>
    <w:rsid w:val="00092116"/>
    <w:rsid w:val="00092A7C"/>
    <w:rsid w:val="00093187"/>
    <w:rsid w:val="00094959"/>
    <w:rsid w:val="000953CD"/>
    <w:rsid w:val="0009581B"/>
    <w:rsid w:val="00095A4F"/>
    <w:rsid w:val="00096171"/>
    <w:rsid w:val="0009645C"/>
    <w:rsid w:val="00097B76"/>
    <w:rsid w:val="000A0610"/>
    <w:rsid w:val="000A0791"/>
    <w:rsid w:val="000A084F"/>
    <w:rsid w:val="000A0925"/>
    <w:rsid w:val="000A0E7A"/>
    <w:rsid w:val="000A0EC2"/>
    <w:rsid w:val="000A1133"/>
    <w:rsid w:val="000A146C"/>
    <w:rsid w:val="000A25F8"/>
    <w:rsid w:val="000A277E"/>
    <w:rsid w:val="000A3B5D"/>
    <w:rsid w:val="000A4368"/>
    <w:rsid w:val="000A4A7D"/>
    <w:rsid w:val="000A4F6A"/>
    <w:rsid w:val="000A553C"/>
    <w:rsid w:val="000A5B52"/>
    <w:rsid w:val="000A6312"/>
    <w:rsid w:val="000A6C5B"/>
    <w:rsid w:val="000A731D"/>
    <w:rsid w:val="000A7371"/>
    <w:rsid w:val="000A759F"/>
    <w:rsid w:val="000A7B9E"/>
    <w:rsid w:val="000B0EBD"/>
    <w:rsid w:val="000B1F93"/>
    <w:rsid w:val="000B28D5"/>
    <w:rsid w:val="000B29CC"/>
    <w:rsid w:val="000B2EE6"/>
    <w:rsid w:val="000B36B6"/>
    <w:rsid w:val="000B398B"/>
    <w:rsid w:val="000B39AE"/>
    <w:rsid w:val="000B3C4A"/>
    <w:rsid w:val="000B442F"/>
    <w:rsid w:val="000B4634"/>
    <w:rsid w:val="000B4840"/>
    <w:rsid w:val="000B4C0D"/>
    <w:rsid w:val="000B4CAA"/>
    <w:rsid w:val="000B574E"/>
    <w:rsid w:val="000B582E"/>
    <w:rsid w:val="000B6E55"/>
    <w:rsid w:val="000B7C52"/>
    <w:rsid w:val="000C05F1"/>
    <w:rsid w:val="000C0BF6"/>
    <w:rsid w:val="000C0F35"/>
    <w:rsid w:val="000C170F"/>
    <w:rsid w:val="000C30CB"/>
    <w:rsid w:val="000C3549"/>
    <w:rsid w:val="000C3783"/>
    <w:rsid w:val="000C4BD5"/>
    <w:rsid w:val="000C4DBF"/>
    <w:rsid w:val="000C5181"/>
    <w:rsid w:val="000C51E0"/>
    <w:rsid w:val="000C5FB1"/>
    <w:rsid w:val="000C61A1"/>
    <w:rsid w:val="000D2B08"/>
    <w:rsid w:val="000D3C63"/>
    <w:rsid w:val="000D41CC"/>
    <w:rsid w:val="000D5DCC"/>
    <w:rsid w:val="000D675F"/>
    <w:rsid w:val="000D6A56"/>
    <w:rsid w:val="000D6AA7"/>
    <w:rsid w:val="000D6D50"/>
    <w:rsid w:val="000E0493"/>
    <w:rsid w:val="000E049D"/>
    <w:rsid w:val="000E097B"/>
    <w:rsid w:val="000E0F76"/>
    <w:rsid w:val="000E141F"/>
    <w:rsid w:val="000E1B28"/>
    <w:rsid w:val="000E2450"/>
    <w:rsid w:val="000E403F"/>
    <w:rsid w:val="000E4585"/>
    <w:rsid w:val="000E53B6"/>
    <w:rsid w:val="000E53E8"/>
    <w:rsid w:val="000E674B"/>
    <w:rsid w:val="000E78D5"/>
    <w:rsid w:val="000F1051"/>
    <w:rsid w:val="000F1C44"/>
    <w:rsid w:val="000F2CAE"/>
    <w:rsid w:val="000F3A3E"/>
    <w:rsid w:val="000F3F90"/>
    <w:rsid w:val="000F4E05"/>
    <w:rsid w:val="000F5281"/>
    <w:rsid w:val="000F5722"/>
    <w:rsid w:val="000F5901"/>
    <w:rsid w:val="000F659B"/>
    <w:rsid w:val="000F75CA"/>
    <w:rsid w:val="000F7649"/>
    <w:rsid w:val="000F7FC8"/>
    <w:rsid w:val="001005EF"/>
    <w:rsid w:val="0010061C"/>
    <w:rsid w:val="00101005"/>
    <w:rsid w:val="00101559"/>
    <w:rsid w:val="001018EF"/>
    <w:rsid w:val="00102805"/>
    <w:rsid w:val="00102F16"/>
    <w:rsid w:val="0010377A"/>
    <w:rsid w:val="00103D70"/>
    <w:rsid w:val="0010443A"/>
    <w:rsid w:val="00105873"/>
    <w:rsid w:val="001074C3"/>
    <w:rsid w:val="00107BE7"/>
    <w:rsid w:val="00110B3F"/>
    <w:rsid w:val="00111636"/>
    <w:rsid w:val="00111651"/>
    <w:rsid w:val="00111A7C"/>
    <w:rsid w:val="00111E6C"/>
    <w:rsid w:val="00113B6E"/>
    <w:rsid w:val="00113D1E"/>
    <w:rsid w:val="0011482F"/>
    <w:rsid w:val="001151F0"/>
    <w:rsid w:val="0011594E"/>
    <w:rsid w:val="00116A81"/>
    <w:rsid w:val="00116EBB"/>
    <w:rsid w:val="00116ECF"/>
    <w:rsid w:val="00116F0C"/>
    <w:rsid w:val="00117447"/>
    <w:rsid w:val="001175E5"/>
    <w:rsid w:val="00117D40"/>
    <w:rsid w:val="00117F9F"/>
    <w:rsid w:val="001202AD"/>
    <w:rsid w:val="00120509"/>
    <w:rsid w:val="00120BF9"/>
    <w:rsid w:val="001218BE"/>
    <w:rsid w:val="00122725"/>
    <w:rsid w:val="00122A21"/>
    <w:rsid w:val="0012327E"/>
    <w:rsid w:val="0012626A"/>
    <w:rsid w:val="0012673B"/>
    <w:rsid w:val="00126BFC"/>
    <w:rsid w:val="00127C8C"/>
    <w:rsid w:val="00130536"/>
    <w:rsid w:val="0013073B"/>
    <w:rsid w:val="00131BEA"/>
    <w:rsid w:val="0013216C"/>
    <w:rsid w:val="0013293E"/>
    <w:rsid w:val="00132AB3"/>
    <w:rsid w:val="00132BDD"/>
    <w:rsid w:val="00132F0E"/>
    <w:rsid w:val="001332E3"/>
    <w:rsid w:val="00133E2E"/>
    <w:rsid w:val="0013433A"/>
    <w:rsid w:val="00134AA2"/>
    <w:rsid w:val="00134F6D"/>
    <w:rsid w:val="001350E4"/>
    <w:rsid w:val="00135481"/>
    <w:rsid w:val="001356E9"/>
    <w:rsid w:val="00135CA6"/>
    <w:rsid w:val="00136DB6"/>
    <w:rsid w:val="0013750A"/>
    <w:rsid w:val="00140151"/>
    <w:rsid w:val="0014028D"/>
    <w:rsid w:val="00140579"/>
    <w:rsid w:val="001409A6"/>
    <w:rsid w:val="00140B16"/>
    <w:rsid w:val="00140B78"/>
    <w:rsid w:val="00140FE5"/>
    <w:rsid w:val="00141202"/>
    <w:rsid w:val="00141D07"/>
    <w:rsid w:val="0014290D"/>
    <w:rsid w:val="00143FDF"/>
    <w:rsid w:val="001440C3"/>
    <w:rsid w:val="001440FC"/>
    <w:rsid w:val="00144499"/>
    <w:rsid w:val="00144574"/>
    <w:rsid w:val="00144B17"/>
    <w:rsid w:val="00145114"/>
    <w:rsid w:val="00145B01"/>
    <w:rsid w:val="00146918"/>
    <w:rsid w:val="00146F73"/>
    <w:rsid w:val="00147855"/>
    <w:rsid w:val="00147B4C"/>
    <w:rsid w:val="00151251"/>
    <w:rsid w:val="00151B95"/>
    <w:rsid w:val="00152832"/>
    <w:rsid w:val="00152E55"/>
    <w:rsid w:val="00154F60"/>
    <w:rsid w:val="001551BF"/>
    <w:rsid w:val="001552BD"/>
    <w:rsid w:val="0015544E"/>
    <w:rsid w:val="001556A6"/>
    <w:rsid w:val="00156AC1"/>
    <w:rsid w:val="00156B60"/>
    <w:rsid w:val="00156F01"/>
    <w:rsid w:val="001573C8"/>
    <w:rsid w:val="00157600"/>
    <w:rsid w:val="001576FB"/>
    <w:rsid w:val="0016243E"/>
    <w:rsid w:val="00162E54"/>
    <w:rsid w:val="00162F86"/>
    <w:rsid w:val="00163320"/>
    <w:rsid w:val="001638F8"/>
    <w:rsid w:val="0016444A"/>
    <w:rsid w:val="00164807"/>
    <w:rsid w:val="00165340"/>
    <w:rsid w:val="00165EB2"/>
    <w:rsid w:val="001667B5"/>
    <w:rsid w:val="001668B4"/>
    <w:rsid w:val="0016769F"/>
    <w:rsid w:val="0016793D"/>
    <w:rsid w:val="001711A1"/>
    <w:rsid w:val="00172432"/>
    <w:rsid w:val="0017357A"/>
    <w:rsid w:val="00173D1A"/>
    <w:rsid w:val="0017406B"/>
    <w:rsid w:val="00174AF4"/>
    <w:rsid w:val="001750B4"/>
    <w:rsid w:val="001756CC"/>
    <w:rsid w:val="00175C41"/>
    <w:rsid w:val="00175EFA"/>
    <w:rsid w:val="0017662E"/>
    <w:rsid w:val="00176B75"/>
    <w:rsid w:val="00176D63"/>
    <w:rsid w:val="00177B35"/>
    <w:rsid w:val="00177FF3"/>
    <w:rsid w:val="00180489"/>
    <w:rsid w:val="00181838"/>
    <w:rsid w:val="00181D0D"/>
    <w:rsid w:val="00181E01"/>
    <w:rsid w:val="0018240A"/>
    <w:rsid w:val="001836DB"/>
    <w:rsid w:val="00183B2E"/>
    <w:rsid w:val="00184E1F"/>
    <w:rsid w:val="00184F73"/>
    <w:rsid w:val="00185439"/>
    <w:rsid w:val="001854B5"/>
    <w:rsid w:val="001854EB"/>
    <w:rsid w:val="00186197"/>
    <w:rsid w:val="001866C0"/>
    <w:rsid w:val="001868EA"/>
    <w:rsid w:val="00186AAB"/>
    <w:rsid w:val="00187024"/>
    <w:rsid w:val="00187B77"/>
    <w:rsid w:val="001905F3"/>
    <w:rsid w:val="00190E8E"/>
    <w:rsid w:val="00191294"/>
    <w:rsid w:val="00192342"/>
    <w:rsid w:val="00193646"/>
    <w:rsid w:val="00195304"/>
    <w:rsid w:val="00195D35"/>
    <w:rsid w:val="00196F70"/>
    <w:rsid w:val="001A0165"/>
    <w:rsid w:val="001A06D6"/>
    <w:rsid w:val="001A084D"/>
    <w:rsid w:val="001A0A76"/>
    <w:rsid w:val="001A46D0"/>
    <w:rsid w:val="001A4B2C"/>
    <w:rsid w:val="001A5631"/>
    <w:rsid w:val="001A57C1"/>
    <w:rsid w:val="001A5EBA"/>
    <w:rsid w:val="001A7075"/>
    <w:rsid w:val="001A7A01"/>
    <w:rsid w:val="001A7B2B"/>
    <w:rsid w:val="001B07EA"/>
    <w:rsid w:val="001B1034"/>
    <w:rsid w:val="001B24AC"/>
    <w:rsid w:val="001B2D82"/>
    <w:rsid w:val="001B3AB0"/>
    <w:rsid w:val="001B3E28"/>
    <w:rsid w:val="001B4711"/>
    <w:rsid w:val="001B477F"/>
    <w:rsid w:val="001B4895"/>
    <w:rsid w:val="001B52C4"/>
    <w:rsid w:val="001B596B"/>
    <w:rsid w:val="001B5BC5"/>
    <w:rsid w:val="001B6217"/>
    <w:rsid w:val="001B6928"/>
    <w:rsid w:val="001B6D79"/>
    <w:rsid w:val="001B7417"/>
    <w:rsid w:val="001C0B39"/>
    <w:rsid w:val="001C0D4A"/>
    <w:rsid w:val="001C1CDA"/>
    <w:rsid w:val="001C21CF"/>
    <w:rsid w:val="001C33EF"/>
    <w:rsid w:val="001C37E0"/>
    <w:rsid w:val="001C38E0"/>
    <w:rsid w:val="001C3A26"/>
    <w:rsid w:val="001C429D"/>
    <w:rsid w:val="001C477C"/>
    <w:rsid w:val="001C4DD8"/>
    <w:rsid w:val="001C50BB"/>
    <w:rsid w:val="001C59CE"/>
    <w:rsid w:val="001C6F05"/>
    <w:rsid w:val="001C7C4C"/>
    <w:rsid w:val="001D0823"/>
    <w:rsid w:val="001D093F"/>
    <w:rsid w:val="001D1326"/>
    <w:rsid w:val="001D18FC"/>
    <w:rsid w:val="001D1E76"/>
    <w:rsid w:val="001D2276"/>
    <w:rsid w:val="001D2AA2"/>
    <w:rsid w:val="001D2AD1"/>
    <w:rsid w:val="001D2CA0"/>
    <w:rsid w:val="001D350E"/>
    <w:rsid w:val="001D3F1E"/>
    <w:rsid w:val="001D40E9"/>
    <w:rsid w:val="001D45A6"/>
    <w:rsid w:val="001D4958"/>
    <w:rsid w:val="001D4A1A"/>
    <w:rsid w:val="001D5089"/>
    <w:rsid w:val="001D54DB"/>
    <w:rsid w:val="001D586E"/>
    <w:rsid w:val="001D588D"/>
    <w:rsid w:val="001D5917"/>
    <w:rsid w:val="001D59F9"/>
    <w:rsid w:val="001D5E48"/>
    <w:rsid w:val="001D5F4B"/>
    <w:rsid w:val="001D6C5E"/>
    <w:rsid w:val="001D7B25"/>
    <w:rsid w:val="001D7C7C"/>
    <w:rsid w:val="001E1058"/>
    <w:rsid w:val="001E1C99"/>
    <w:rsid w:val="001E308B"/>
    <w:rsid w:val="001E3337"/>
    <w:rsid w:val="001E4111"/>
    <w:rsid w:val="001E44A1"/>
    <w:rsid w:val="001E484F"/>
    <w:rsid w:val="001E542B"/>
    <w:rsid w:val="001E73D4"/>
    <w:rsid w:val="001E7540"/>
    <w:rsid w:val="001E774D"/>
    <w:rsid w:val="001E7A67"/>
    <w:rsid w:val="001F0837"/>
    <w:rsid w:val="001F08BF"/>
    <w:rsid w:val="001F124B"/>
    <w:rsid w:val="001F248E"/>
    <w:rsid w:val="001F2C75"/>
    <w:rsid w:val="001F2E51"/>
    <w:rsid w:val="001F3397"/>
    <w:rsid w:val="001F492F"/>
    <w:rsid w:val="001F4C42"/>
    <w:rsid w:val="001F587A"/>
    <w:rsid w:val="001F5AB8"/>
    <w:rsid w:val="001F5BBC"/>
    <w:rsid w:val="001F5C04"/>
    <w:rsid w:val="001F5C32"/>
    <w:rsid w:val="001F5C39"/>
    <w:rsid w:val="001F6003"/>
    <w:rsid w:val="001F6617"/>
    <w:rsid w:val="001F7273"/>
    <w:rsid w:val="002003D5"/>
    <w:rsid w:val="00200D58"/>
    <w:rsid w:val="002010FB"/>
    <w:rsid w:val="002012CC"/>
    <w:rsid w:val="0020171E"/>
    <w:rsid w:val="0020176B"/>
    <w:rsid w:val="00201F4A"/>
    <w:rsid w:val="0020422B"/>
    <w:rsid w:val="002045FB"/>
    <w:rsid w:val="0020479A"/>
    <w:rsid w:val="00205626"/>
    <w:rsid w:val="00205981"/>
    <w:rsid w:val="0020607C"/>
    <w:rsid w:val="00206660"/>
    <w:rsid w:val="0020686B"/>
    <w:rsid w:val="00206D5D"/>
    <w:rsid w:val="00206EAE"/>
    <w:rsid w:val="002070AE"/>
    <w:rsid w:val="002075B7"/>
    <w:rsid w:val="00207F8F"/>
    <w:rsid w:val="00207FCD"/>
    <w:rsid w:val="0021099D"/>
    <w:rsid w:val="00210CFD"/>
    <w:rsid w:val="00211100"/>
    <w:rsid w:val="00211EC9"/>
    <w:rsid w:val="00212725"/>
    <w:rsid w:val="00212BB7"/>
    <w:rsid w:val="00212C8B"/>
    <w:rsid w:val="00213440"/>
    <w:rsid w:val="002136B5"/>
    <w:rsid w:val="00213CE7"/>
    <w:rsid w:val="00213E5C"/>
    <w:rsid w:val="00215F0B"/>
    <w:rsid w:val="00215F21"/>
    <w:rsid w:val="0021658E"/>
    <w:rsid w:val="00216F9E"/>
    <w:rsid w:val="0021729E"/>
    <w:rsid w:val="002173AC"/>
    <w:rsid w:val="00217E89"/>
    <w:rsid w:val="002214F8"/>
    <w:rsid w:val="00221F5B"/>
    <w:rsid w:val="00221FC4"/>
    <w:rsid w:val="00222A5F"/>
    <w:rsid w:val="002230C0"/>
    <w:rsid w:val="0022346F"/>
    <w:rsid w:val="00224276"/>
    <w:rsid w:val="00224A06"/>
    <w:rsid w:val="00224FB0"/>
    <w:rsid w:val="00225598"/>
    <w:rsid w:val="00225652"/>
    <w:rsid w:val="00225F72"/>
    <w:rsid w:val="00225FE3"/>
    <w:rsid w:val="00226C2B"/>
    <w:rsid w:val="00226DB6"/>
    <w:rsid w:val="00227EF5"/>
    <w:rsid w:val="00227FED"/>
    <w:rsid w:val="00230789"/>
    <w:rsid w:val="00230ECC"/>
    <w:rsid w:val="00232603"/>
    <w:rsid w:val="00232906"/>
    <w:rsid w:val="00232E50"/>
    <w:rsid w:val="002330F9"/>
    <w:rsid w:val="002331BA"/>
    <w:rsid w:val="0023367F"/>
    <w:rsid w:val="002337C5"/>
    <w:rsid w:val="0023395D"/>
    <w:rsid w:val="00234F93"/>
    <w:rsid w:val="0023507C"/>
    <w:rsid w:val="00235195"/>
    <w:rsid w:val="002352F1"/>
    <w:rsid w:val="002359FA"/>
    <w:rsid w:val="0023603F"/>
    <w:rsid w:val="002360AA"/>
    <w:rsid w:val="002363B8"/>
    <w:rsid w:val="00236FB5"/>
    <w:rsid w:val="0023791E"/>
    <w:rsid w:val="00240178"/>
    <w:rsid w:val="002401AB"/>
    <w:rsid w:val="002409FA"/>
    <w:rsid w:val="00241082"/>
    <w:rsid w:val="002417D5"/>
    <w:rsid w:val="002425AD"/>
    <w:rsid w:val="002426F5"/>
    <w:rsid w:val="002428E6"/>
    <w:rsid w:val="002432CE"/>
    <w:rsid w:val="0024374A"/>
    <w:rsid w:val="0024461E"/>
    <w:rsid w:val="0024467A"/>
    <w:rsid w:val="00244DB3"/>
    <w:rsid w:val="00245659"/>
    <w:rsid w:val="00245898"/>
    <w:rsid w:val="002464F5"/>
    <w:rsid w:val="00246729"/>
    <w:rsid w:val="002467E1"/>
    <w:rsid w:val="002469BE"/>
    <w:rsid w:val="00246B2E"/>
    <w:rsid w:val="00246C5E"/>
    <w:rsid w:val="00246CBE"/>
    <w:rsid w:val="00247265"/>
    <w:rsid w:val="00247458"/>
    <w:rsid w:val="002478FF"/>
    <w:rsid w:val="00250E5B"/>
    <w:rsid w:val="00251839"/>
    <w:rsid w:val="00251B53"/>
    <w:rsid w:val="00251C47"/>
    <w:rsid w:val="00252C99"/>
    <w:rsid w:val="00254412"/>
    <w:rsid w:val="002554A1"/>
    <w:rsid w:val="002566C7"/>
    <w:rsid w:val="00256E2E"/>
    <w:rsid w:val="00256FB5"/>
    <w:rsid w:val="00257248"/>
    <w:rsid w:val="00257509"/>
    <w:rsid w:val="00257570"/>
    <w:rsid w:val="002608B9"/>
    <w:rsid w:val="00260F80"/>
    <w:rsid w:val="00261308"/>
    <w:rsid w:val="00261D86"/>
    <w:rsid w:val="00261F51"/>
    <w:rsid w:val="002622CB"/>
    <w:rsid w:val="00262604"/>
    <w:rsid w:val="00263A65"/>
    <w:rsid w:val="00263BD6"/>
    <w:rsid w:val="00264751"/>
    <w:rsid w:val="002654AF"/>
    <w:rsid w:val="002657B3"/>
    <w:rsid w:val="00266A5C"/>
    <w:rsid w:val="00266F8D"/>
    <w:rsid w:val="00267F69"/>
    <w:rsid w:val="00270480"/>
    <w:rsid w:val="0027070E"/>
    <w:rsid w:val="00270E90"/>
    <w:rsid w:val="00271327"/>
    <w:rsid w:val="002735E6"/>
    <w:rsid w:val="002754BC"/>
    <w:rsid w:val="00275744"/>
    <w:rsid w:val="00276534"/>
    <w:rsid w:val="00276887"/>
    <w:rsid w:val="00277231"/>
    <w:rsid w:val="00277EC4"/>
    <w:rsid w:val="002824D3"/>
    <w:rsid w:val="0028295F"/>
    <w:rsid w:val="00283A14"/>
    <w:rsid w:val="00284C88"/>
    <w:rsid w:val="00285EB2"/>
    <w:rsid w:val="00286344"/>
    <w:rsid w:val="00287324"/>
    <w:rsid w:val="0028732A"/>
    <w:rsid w:val="00287A91"/>
    <w:rsid w:val="00290099"/>
    <w:rsid w:val="002907E0"/>
    <w:rsid w:val="00290EC2"/>
    <w:rsid w:val="00291B18"/>
    <w:rsid w:val="00291CB1"/>
    <w:rsid w:val="00291D2B"/>
    <w:rsid w:val="00292106"/>
    <w:rsid w:val="0029251D"/>
    <w:rsid w:val="00292BF9"/>
    <w:rsid w:val="00292E8C"/>
    <w:rsid w:val="0029346C"/>
    <w:rsid w:val="00293D13"/>
    <w:rsid w:val="00294E2E"/>
    <w:rsid w:val="002950C1"/>
    <w:rsid w:val="00295B0F"/>
    <w:rsid w:val="00295D9A"/>
    <w:rsid w:val="00296370"/>
    <w:rsid w:val="002964D1"/>
    <w:rsid w:val="002966C8"/>
    <w:rsid w:val="00296AA4"/>
    <w:rsid w:val="002A0990"/>
    <w:rsid w:val="002A132B"/>
    <w:rsid w:val="002A2110"/>
    <w:rsid w:val="002A215E"/>
    <w:rsid w:val="002A3B82"/>
    <w:rsid w:val="002A43F7"/>
    <w:rsid w:val="002A4A30"/>
    <w:rsid w:val="002A59E3"/>
    <w:rsid w:val="002A5A99"/>
    <w:rsid w:val="002A5D3D"/>
    <w:rsid w:val="002A635A"/>
    <w:rsid w:val="002A710C"/>
    <w:rsid w:val="002A72BF"/>
    <w:rsid w:val="002B0728"/>
    <w:rsid w:val="002B0BA6"/>
    <w:rsid w:val="002B1668"/>
    <w:rsid w:val="002B1705"/>
    <w:rsid w:val="002B17A4"/>
    <w:rsid w:val="002B1B0F"/>
    <w:rsid w:val="002B1FED"/>
    <w:rsid w:val="002B2B2D"/>
    <w:rsid w:val="002B39E9"/>
    <w:rsid w:val="002B3C81"/>
    <w:rsid w:val="002B5424"/>
    <w:rsid w:val="002B5759"/>
    <w:rsid w:val="002B5B2D"/>
    <w:rsid w:val="002B5BCF"/>
    <w:rsid w:val="002B6691"/>
    <w:rsid w:val="002B69B3"/>
    <w:rsid w:val="002B6D11"/>
    <w:rsid w:val="002B6D89"/>
    <w:rsid w:val="002B6EC0"/>
    <w:rsid w:val="002B70E7"/>
    <w:rsid w:val="002B750C"/>
    <w:rsid w:val="002C01C9"/>
    <w:rsid w:val="002C0694"/>
    <w:rsid w:val="002C076A"/>
    <w:rsid w:val="002C0D85"/>
    <w:rsid w:val="002C1848"/>
    <w:rsid w:val="002C18EC"/>
    <w:rsid w:val="002C1DF2"/>
    <w:rsid w:val="002C2337"/>
    <w:rsid w:val="002C31D0"/>
    <w:rsid w:val="002C35C7"/>
    <w:rsid w:val="002C36A1"/>
    <w:rsid w:val="002C609E"/>
    <w:rsid w:val="002C6574"/>
    <w:rsid w:val="002C6C22"/>
    <w:rsid w:val="002C730F"/>
    <w:rsid w:val="002C77F3"/>
    <w:rsid w:val="002C79BC"/>
    <w:rsid w:val="002D18AA"/>
    <w:rsid w:val="002D1DA0"/>
    <w:rsid w:val="002D232E"/>
    <w:rsid w:val="002D39F2"/>
    <w:rsid w:val="002D3BE0"/>
    <w:rsid w:val="002D56B3"/>
    <w:rsid w:val="002D5856"/>
    <w:rsid w:val="002D619C"/>
    <w:rsid w:val="002D6233"/>
    <w:rsid w:val="002D6528"/>
    <w:rsid w:val="002D659D"/>
    <w:rsid w:val="002D6C7E"/>
    <w:rsid w:val="002D6FBC"/>
    <w:rsid w:val="002D75CC"/>
    <w:rsid w:val="002D772F"/>
    <w:rsid w:val="002D787C"/>
    <w:rsid w:val="002E2980"/>
    <w:rsid w:val="002E2998"/>
    <w:rsid w:val="002E2E4E"/>
    <w:rsid w:val="002E3465"/>
    <w:rsid w:val="002E394C"/>
    <w:rsid w:val="002E3F4E"/>
    <w:rsid w:val="002E45C0"/>
    <w:rsid w:val="002E4BCC"/>
    <w:rsid w:val="002E610E"/>
    <w:rsid w:val="002E67B8"/>
    <w:rsid w:val="002E7774"/>
    <w:rsid w:val="002F068D"/>
    <w:rsid w:val="002F10C0"/>
    <w:rsid w:val="002F20FF"/>
    <w:rsid w:val="002F226C"/>
    <w:rsid w:val="002F245F"/>
    <w:rsid w:val="002F2BA7"/>
    <w:rsid w:val="002F34E6"/>
    <w:rsid w:val="002F357C"/>
    <w:rsid w:val="002F3BB6"/>
    <w:rsid w:val="002F62D3"/>
    <w:rsid w:val="002F777D"/>
    <w:rsid w:val="002F7B6A"/>
    <w:rsid w:val="002F7C18"/>
    <w:rsid w:val="002F7DBB"/>
    <w:rsid w:val="002F7E48"/>
    <w:rsid w:val="002F7F34"/>
    <w:rsid w:val="003008FE"/>
    <w:rsid w:val="003012E2"/>
    <w:rsid w:val="00302F3B"/>
    <w:rsid w:val="003035D4"/>
    <w:rsid w:val="00303DC9"/>
    <w:rsid w:val="00303E31"/>
    <w:rsid w:val="00304101"/>
    <w:rsid w:val="00304290"/>
    <w:rsid w:val="003048A9"/>
    <w:rsid w:val="00304C25"/>
    <w:rsid w:val="003057F7"/>
    <w:rsid w:val="00305D15"/>
    <w:rsid w:val="00306A88"/>
    <w:rsid w:val="00306ACB"/>
    <w:rsid w:val="00306B8D"/>
    <w:rsid w:val="00307629"/>
    <w:rsid w:val="00307921"/>
    <w:rsid w:val="00310A5E"/>
    <w:rsid w:val="00310A8B"/>
    <w:rsid w:val="00310E0D"/>
    <w:rsid w:val="00310E71"/>
    <w:rsid w:val="0031103F"/>
    <w:rsid w:val="00311283"/>
    <w:rsid w:val="003118BA"/>
    <w:rsid w:val="00311A5B"/>
    <w:rsid w:val="00312959"/>
    <w:rsid w:val="00312D12"/>
    <w:rsid w:val="003136A4"/>
    <w:rsid w:val="00313707"/>
    <w:rsid w:val="00314F5A"/>
    <w:rsid w:val="003154B0"/>
    <w:rsid w:val="003163F5"/>
    <w:rsid w:val="003173E5"/>
    <w:rsid w:val="003219BE"/>
    <w:rsid w:val="003219D2"/>
    <w:rsid w:val="00321F6E"/>
    <w:rsid w:val="0032201B"/>
    <w:rsid w:val="003242AE"/>
    <w:rsid w:val="00324A44"/>
    <w:rsid w:val="003260EE"/>
    <w:rsid w:val="003262D4"/>
    <w:rsid w:val="00326848"/>
    <w:rsid w:val="00326EBE"/>
    <w:rsid w:val="00327593"/>
    <w:rsid w:val="00331918"/>
    <w:rsid w:val="00331AAA"/>
    <w:rsid w:val="00332279"/>
    <w:rsid w:val="00332413"/>
    <w:rsid w:val="0033369B"/>
    <w:rsid w:val="00334243"/>
    <w:rsid w:val="00335B00"/>
    <w:rsid w:val="00335BCE"/>
    <w:rsid w:val="00335D0C"/>
    <w:rsid w:val="00335F8E"/>
    <w:rsid w:val="00335FA8"/>
    <w:rsid w:val="00336631"/>
    <w:rsid w:val="0033665D"/>
    <w:rsid w:val="00336E19"/>
    <w:rsid w:val="00336F48"/>
    <w:rsid w:val="00337156"/>
    <w:rsid w:val="00337411"/>
    <w:rsid w:val="00337885"/>
    <w:rsid w:val="00340804"/>
    <w:rsid w:val="00340E9B"/>
    <w:rsid w:val="00341397"/>
    <w:rsid w:val="003413ED"/>
    <w:rsid w:val="00342897"/>
    <w:rsid w:val="00343169"/>
    <w:rsid w:val="003441E1"/>
    <w:rsid w:val="003444B1"/>
    <w:rsid w:val="00344E12"/>
    <w:rsid w:val="003450AA"/>
    <w:rsid w:val="00345262"/>
    <w:rsid w:val="00345467"/>
    <w:rsid w:val="00347301"/>
    <w:rsid w:val="003475C6"/>
    <w:rsid w:val="0035136E"/>
    <w:rsid w:val="003513A5"/>
    <w:rsid w:val="003514E7"/>
    <w:rsid w:val="00351ADB"/>
    <w:rsid w:val="0035254C"/>
    <w:rsid w:val="00352D10"/>
    <w:rsid w:val="00353EC9"/>
    <w:rsid w:val="00355873"/>
    <w:rsid w:val="003560C1"/>
    <w:rsid w:val="00356E67"/>
    <w:rsid w:val="00357736"/>
    <w:rsid w:val="00357804"/>
    <w:rsid w:val="00357B06"/>
    <w:rsid w:val="00357BB4"/>
    <w:rsid w:val="00360AA5"/>
    <w:rsid w:val="003612B7"/>
    <w:rsid w:val="00361A11"/>
    <w:rsid w:val="00363F30"/>
    <w:rsid w:val="00364857"/>
    <w:rsid w:val="00364D3C"/>
    <w:rsid w:val="00364FE0"/>
    <w:rsid w:val="003651F8"/>
    <w:rsid w:val="003652D7"/>
    <w:rsid w:val="00365824"/>
    <w:rsid w:val="00365931"/>
    <w:rsid w:val="00365C45"/>
    <w:rsid w:val="00366E8B"/>
    <w:rsid w:val="0036708F"/>
    <w:rsid w:val="00367CB3"/>
    <w:rsid w:val="00367D29"/>
    <w:rsid w:val="003709A8"/>
    <w:rsid w:val="00370BBD"/>
    <w:rsid w:val="003710D6"/>
    <w:rsid w:val="00372C10"/>
    <w:rsid w:val="003731D3"/>
    <w:rsid w:val="0037359B"/>
    <w:rsid w:val="00375696"/>
    <w:rsid w:val="00375C05"/>
    <w:rsid w:val="00375C6E"/>
    <w:rsid w:val="0037610F"/>
    <w:rsid w:val="003764F0"/>
    <w:rsid w:val="003774CA"/>
    <w:rsid w:val="0037751A"/>
    <w:rsid w:val="00377F02"/>
    <w:rsid w:val="00377FCD"/>
    <w:rsid w:val="00380779"/>
    <w:rsid w:val="00380B2A"/>
    <w:rsid w:val="00380E33"/>
    <w:rsid w:val="00381870"/>
    <w:rsid w:val="00381A14"/>
    <w:rsid w:val="003823EA"/>
    <w:rsid w:val="0038255C"/>
    <w:rsid w:val="00382784"/>
    <w:rsid w:val="00382C02"/>
    <w:rsid w:val="00383799"/>
    <w:rsid w:val="00383E99"/>
    <w:rsid w:val="00383FDA"/>
    <w:rsid w:val="00384531"/>
    <w:rsid w:val="0038536C"/>
    <w:rsid w:val="003853A4"/>
    <w:rsid w:val="00385627"/>
    <w:rsid w:val="0038585F"/>
    <w:rsid w:val="00385915"/>
    <w:rsid w:val="00385E07"/>
    <w:rsid w:val="003863AC"/>
    <w:rsid w:val="003868DF"/>
    <w:rsid w:val="00386BFA"/>
    <w:rsid w:val="003878A2"/>
    <w:rsid w:val="00387C13"/>
    <w:rsid w:val="003900B0"/>
    <w:rsid w:val="00390A2D"/>
    <w:rsid w:val="003915CD"/>
    <w:rsid w:val="0039187A"/>
    <w:rsid w:val="00392BC0"/>
    <w:rsid w:val="003941EF"/>
    <w:rsid w:val="003946D7"/>
    <w:rsid w:val="00395D30"/>
    <w:rsid w:val="00396211"/>
    <w:rsid w:val="00396492"/>
    <w:rsid w:val="00396746"/>
    <w:rsid w:val="003968EC"/>
    <w:rsid w:val="00397066"/>
    <w:rsid w:val="00397F5D"/>
    <w:rsid w:val="003A117D"/>
    <w:rsid w:val="003A1418"/>
    <w:rsid w:val="003A1A91"/>
    <w:rsid w:val="003A1EBD"/>
    <w:rsid w:val="003A2337"/>
    <w:rsid w:val="003A24E4"/>
    <w:rsid w:val="003A2586"/>
    <w:rsid w:val="003A25B5"/>
    <w:rsid w:val="003A308F"/>
    <w:rsid w:val="003A358F"/>
    <w:rsid w:val="003A4185"/>
    <w:rsid w:val="003A425E"/>
    <w:rsid w:val="003A6318"/>
    <w:rsid w:val="003A6769"/>
    <w:rsid w:val="003A7656"/>
    <w:rsid w:val="003A77C3"/>
    <w:rsid w:val="003A78C9"/>
    <w:rsid w:val="003A7C59"/>
    <w:rsid w:val="003A7D3B"/>
    <w:rsid w:val="003A7FB7"/>
    <w:rsid w:val="003B10E6"/>
    <w:rsid w:val="003B17FA"/>
    <w:rsid w:val="003B1AC3"/>
    <w:rsid w:val="003B1E17"/>
    <w:rsid w:val="003B1EC2"/>
    <w:rsid w:val="003B25B9"/>
    <w:rsid w:val="003B3863"/>
    <w:rsid w:val="003B4BCE"/>
    <w:rsid w:val="003B5892"/>
    <w:rsid w:val="003B5D98"/>
    <w:rsid w:val="003B6AB9"/>
    <w:rsid w:val="003B72B5"/>
    <w:rsid w:val="003B7712"/>
    <w:rsid w:val="003C0254"/>
    <w:rsid w:val="003C049C"/>
    <w:rsid w:val="003C25F1"/>
    <w:rsid w:val="003C2A28"/>
    <w:rsid w:val="003C3804"/>
    <w:rsid w:val="003C3964"/>
    <w:rsid w:val="003C3AE3"/>
    <w:rsid w:val="003C4D1C"/>
    <w:rsid w:val="003C51FC"/>
    <w:rsid w:val="003C5292"/>
    <w:rsid w:val="003C5DE9"/>
    <w:rsid w:val="003C7AB2"/>
    <w:rsid w:val="003D026A"/>
    <w:rsid w:val="003D0719"/>
    <w:rsid w:val="003D0946"/>
    <w:rsid w:val="003D11E7"/>
    <w:rsid w:val="003D2A7D"/>
    <w:rsid w:val="003D2D22"/>
    <w:rsid w:val="003D396B"/>
    <w:rsid w:val="003D3DB6"/>
    <w:rsid w:val="003D522E"/>
    <w:rsid w:val="003D5644"/>
    <w:rsid w:val="003D6630"/>
    <w:rsid w:val="003D6C88"/>
    <w:rsid w:val="003D71CE"/>
    <w:rsid w:val="003D736B"/>
    <w:rsid w:val="003D7468"/>
    <w:rsid w:val="003D79F0"/>
    <w:rsid w:val="003D7B40"/>
    <w:rsid w:val="003D7E0E"/>
    <w:rsid w:val="003D7E1E"/>
    <w:rsid w:val="003E03E3"/>
    <w:rsid w:val="003E0887"/>
    <w:rsid w:val="003E0CD4"/>
    <w:rsid w:val="003E10B4"/>
    <w:rsid w:val="003E16E3"/>
    <w:rsid w:val="003E17B6"/>
    <w:rsid w:val="003E1B35"/>
    <w:rsid w:val="003E3327"/>
    <w:rsid w:val="003E4D83"/>
    <w:rsid w:val="003E4E6A"/>
    <w:rsid w:val="003E539E"/>
    <w:rsid w:val="003E6A01"/>
    <w:rsid w:val="003E6C59"/>
    <w:rsid w:val="003E70BD"/>
    <w:rsid w:val="003E71E7"/>
    <w:rsid w:val="003E774E"/>
    <w:rsid w:val="003E7B6D"/>
    <w:rsid w:val="003F0C70"/>
    <w:rsid w:val="003F14F0"/>
    <w:rsid w:val="003F1792"/>
    <w:rsid w:val="003F1E75"/>
    <w:rsid w:val="003F2264"/>
    <w:rsid w:val="003F27BA"/>
    <w:rsid w:val="003F2A0A"/>
    <w:rsid w:val="003F2F35"/>
    <w:rsid w:val="003F32CC"/>
    <w:rsid w:val="003F3ACF"/>
    <w:rsid w:val="003F3E7F"/>
    <w:rsid w:val="003F4B09"/>
    <w:rsid w:val="003F525C"/>
    <w:rsid w:val="003F5A17"/>
    <w:rsid w:val="003F5F97"/>
    <w:rsid w:val="003F7DEA"/>
    <w:rsid w:val="004003CD"/>
    <w:rsid w:val="0040093A"/>
    <w:rsid w:val="00400CA6"/>
    <w:rsid w:val="00400D3A"/>
    <w:rsid w:val="00400E25"/>
    <w:rsid w:val="0040126D"/>
    <w:rsid w:val="00401370"/>
    <w:rsid w:val="004020E6"/>
    <w:rsid w:val="004022CC"/>
    <w:rsid w:val="00402799"/>
    <w:rsid w:val="004028BD"/>
    <w:rsid w:val="00402EB8"/>
    <w:rsid w:val="00404047"/>
    <w:rsid w:val="004041B8"/>
    <w:rsid w:val="0040427C"/>
    <w:rsid w:val="004045B9"/>
    <w:rsid w:val="00405186"/>
    <w:rsid w:val="00405927"/>
    <w:rsid w:val="00405D66"/>
    <w:rsid w:val="00406376"/>
    <w:rsid w:val="00406B59"/>
    <w:rsid w:val="00407833"/>
    <w:rsid w:val="00407C4E"/>
    <w:rsid w:val="00410050"/>
    <w:rsid w:val="00410447"/>
    <w:rsid w:val="0041083E"/>
    <w:rsid w:val="00410886"/>
    <w:rsid w:val="004114F6"/>
    <w:rsid w:val="00411590"/>
    <w:rsid w:val="004116A5"/>
    <w:rsid w:val="0041180F"/>
    <w:rsid w:val="004121E4"/>
    <w:rsid w:val="00412CC0"/>
    <w:rsid w:val="00412E3C"/>
    <w:rsid w:val="0041405B"/>
    <w:rsid w:val="0041409D"/>
    <w:rsid w:val="00414922"/>
    <w:rsid w:val="004153C4"/>
    <w:rsid w:val="004159FC"/>
    <w:rsid w:val="00415FD1"/>
    <w:rsid w:val="00416C4D"/>
    <w:rsid w:val="00420C2E"/>
    <w:rsid w:val="00420D48"/>
    <w:rsid w:val="00420D4B"/>
    <w:rsid w:val="004212FD"/>
    <w:rsid w:val="004229B6"/>
    <w:rsid w:val="00422DDB"/>
    <w:rsid w:val="00423726"/>
    <w:rsid w:val="004238E0"/>
    <w:rsid w:val="00423EFB"/>
    <w:rsid w:val="00424083"/>
    <w:rsid w:val="0042546F"/>
    <w:rsid w:val="00425958"/>
    <w:rsid w:val="0042624E"/>
    <w:rsid w:val="00426C1F"/>
    <w:rsid w:val="00427249"/>
    <w:rsid w:val="00427F80"/>
    <w:rsid w:val="004304D5"/>
    <w:rsid w:val="00430DC6"/>
    <w:rsid w:val="00431CBA"/>
    <w:rsid w:val="004322A0"/>
    <w:rsid w:val="00432D7A"/>
    <w:rsid w:val="00433E84"/>
    <w:rsid w:val="00434A8C"/>
    <w:rsid w:val="004353A4"/>
    <w:rsid w:val="004363AE"/>
    <w:rsid w:val="004367E7"/>
    <w:rsid w:val="004376D5"/>
    <w:rsid w:val="004406C4"/>
    <w:rsid w:val="004414C7"/>
    <w:rsid w:val="0044233B"/>
    <w:rsid w:val="0044369E"/>
    <w:rsid w:val="004442AA"/>
    <w:rsid w:val="00444602"/>
    <w:rsid w:val="00444B65"/>
    <w:rsid w:val="00444CAD"/>
    <w:rsid w:val="004452E6"/>
    <w:rsid w:val="00445899"/>
    <w:rsid w:val="00445FEC"/>
    <w:rsid w:val="00445FEE"/>
    <w:rsid w:val="00446440"/>
    <w:rsid w:val="004465B1"/>
    <w:rsid w:val="00446BE1"/>
    <w:rsid w:val="004472C3"/>
    <w:rsid w:val="00450B07"/>
    <w:rsid w:val="004514DD"/>
    <w:rsid w:val="00451B3A"/>
    <w:rsid w:val="00452005"/>
    <w:rsid w:val="00452F4F"/>
    <w:rsid w:val="004531D5"/>
    <w:rsid w:val="00453F19"/>
    <w:rsid w:val="004542AE"/>
    <w:rsid w:val="004551A2"/>
    <w:rsid w:val="004552B7"/>
    <w:rsid w:val="00455B8D"/>
    <w:rsid w:val="004563E4"/>
    <w:rsid w:val="004569CB"/>
    <w:rsid w:val="00457BE7"/>
    <w:rsid w:val="004608D2"/>
    <w:rsid w:val="00461046"/>
    <w:rsid w:val="004610A5"/>
    <w:rsid w:val="004614D7"/>
    <w:rsid w:val="00461785"/>
    <w:rsid w:val="004617F6"/>
    <w:rsid w:val="00461905"/>
    <w:rsid w:val="00461B8F"/>
    <w:rsid w:val="004624B0"/>
    <w:rsid w:val="0046375E"/>
    <w:rsid w:val="004642D2"/>
    <w:rsid w:val="004645BA"/>
    <w:rsid w:val="0046498E"/>
    <w:rsid w:val="00464A5C"/>
    <w:rsid w:val="00464F20"/>
    <w:rsid w:val="00465110"/>
    <w:rsid w:val="004658C2"/>
    <w:rsid w:val="00465EEC"/>
    <w:rsid w:val="00466A92"/>
    <w:rsid w:val="00466BC9"/>
    <w:rsid w:val="00466FD8"/>
    <w:rsid w:val="0046736C"/>
    <w:rsid w:val="00470998"/>
    <w:rsid w:val="00471631"/>
    <w:rsid w:val="0047187E"/>
    <w:rsid w:val="00471B26"/>
    <w:rsid w:val="00471CA0"/>
    <w:rsid w:val="00471CF1"/>
    <w:rsid w:val="00471D9D"/>
    <w:rsid w:val="0047232F"/>
    <w:rsid w:val="00472E7C"/>
    <w:rsid w:val="00473361"/>
    <w:rsid w:val="00474145"/>
    <w:rsid w:val="004742E0"/>
    <w:rsid w:val="004755FB"/>
    <w:rsid w:val="00475FA3"/>
    <w:rsid w:val="0047757D"/>
    <w:rsid w:val="00480883"/>
    <w:rsid w:val="0048091C"/>
    <w:rsid w:val="0048113A"/>
    <w:rsid w:val="004811E8"/>
    <w:rsid w:val="00481418"/>
    <w:rsid w:val="004816C1"/>
    <w:rsid w:val="00481ECF"/>
    <w:rsid w:val="004825D4"/>
    <w:rsid w:val="00482D19"/>
    <w:rsid w:val="00482EA0"/>
    <w:rsid w:val="004842C7"/>
    <w:rsid w:val="004843BB"/>
    <w:rsid w:val="00484DA7"/>
    <w:rsid w:val="00484E9A"/>
    <w:rsid w:val="00485733"/>
    <w:rsid w:val="004857E6"/>
    <w:rsid w:val="004858FF"/>
    <w:rsid w:val="00486607"/>
    <w:rsid w:val="00486A38"/>
    <w:rsid w:val="00486D2F"/>
    <w:rsid w:val="004902D1"/>
    <w:rsid w:val="0049053C"/>
    <w:rsid w:val="00491945"/>
    <w:rsid w:val="00491DE5"/>
    <w:rsid w:val="00492014"/>
    <w:rsid w:val="00492DF3"/>
    <w:rsid w:val="00492F29"/>
    <w:rsid w:val="00493004"/>
    <w:rsid w:val="00493AB6"/>
    <w:rsid w:val="00494853"/>
    <w:rsid w:val="00495397"/>
    <w:rsid w:val="004953DC"/>
    <w:rsid w:val="00495505"/>
    <w:rsid w:val="00495B5B"/>
    <w:rsid w:val="00495F76"/>
    <w:rsid w:val="00496701"/>
    <w:rsid w:val="00496893"/>
    <w:rsid w:val="00497CF2"/>
    <w:rsid w:val="004A0095"/>
    <w:rsid w:val="004A0130"/>
    <w:rsid w:val="004A08C3"/>
    <w:rsid w:val="004A1468"/>
    <w:rsid w:val="004A1533"/>
    <w:rsid w:val="004A1D6E"/>
    <w:rsid w:val="004A2755"/>
    <w:rsid w:val="004A27E2"/>
    <w:rsid w:val="004A38C4"/>
    <w:rsid w:val="004A38C6"/>
    <w:rsid w:val="004A3EA8"/>
    <w:rsid w:val="004A4348"/>
    <w:rsid w:val="004A60CF"/>
    <w:rsid w:val="004A6564"/>
    <w:rsid w:val="004A6B25"/>
    <w:rsid w:val="004A6BF5"/>
    <w:rsid w:val="004A6C1E"/>
    <w:rsid w:val="004A6D0D"/>
    <w:rsid w:val="004B04C6"/>
    <w:rsid w:val="004B2363"/>
    <w:rsid w:val="004B2BB8"/>
    <w:rsid w:val="004B2C9B"/>
    <w:rsid w:val="004B2FE4"/>
    <w:rsid w:val="004B4DF2"/>
    <w:rsid w:val="004B4F76"/>
    <w:rsid w:val="004B63D1"/>
    <w:rsid w:val="004B654D"/>
    <w:rsid w:val="004B6703"/>
    <w:rsid w:val="004B6972"/>
    <w:rsid w:val="004B6C21"/>
    <w:rsid w:val="004B6E70"/>
    <w:rsid w:val="004B73EF"/>
    <w:rsid w:val="004B7478"/>
    <w:rsid w:val="004B7630"/>
    <w:rsid w:val="004C087E"/>
    <w:rsid w:val="004C193D"/>
    <w:rsid w:val="004C2404"/>
    <w:rsid w:val="004C2787"/>
    <w:rsid w:val="004C37BB"/>
    <w:rsid w:val="004C3E35"/>
    <w:rsid w:val="004C3F2B"/>
    <w:rsid w:val="004C42B8"/>
    <w:rsid w:val="004C6C5D"/>
    <w:rsid w:val="004C7822"/>
    <w:rsid w:val="004C7BCC"/>
    <w:rsid w:val="004D155E"/>
    <w:rsid w:val="004D15CB"/>
    <w:rsid w:val="004D21A7"/>
    <w:rsid w:val="004D2AD5"/>
    <w:rsid w:val="004D33E5"/>
    <w:rsid w:val="004D3569"/>
    <w:rsid w:val="004D45EB"/>
    <w:rsid w:val="004D4635"/>
    <w:rsid w:val="004D4FCB"/>
    <w:rsid w:val="004D5BC2"/>
    <w:rsid w:val="004D624C"/>
    <w:rsid w:val="004D784E"/>
    <w:rsid w:val="004E13EA"/>
    <w:rsid w:val="004E16D5"/>
    <w:rsid w:val="004E18BF"/>
    <w:rsid w:val="004E2114"/>
    <w:rsid w:val="004E25A6"/>
    <w:rsid w:val="004E2B16"/>
    <w:rsid w:val="004E2BEA"/>
    <w:rsid w:val="004E2C75"/>
    <w:rsid w:val="004E423C"/>
    <w:rsid w:val="004E456D"/>
    <w:rsid w:val="004E484B"/>
    <w:rsid w:val="004E59D0"/>
    <w:rsid w:val="004E5E53"/>
    <w:rsid w:val="004E61B6"/>
    <w:rsid w:val="004E69F3"/>
    <w:rsid w:val="004F09DC"/>
    <w:rsid w:val="004F0A17"/>
    <w:rsid w:val="004F1121"/>
    <w:rsid w:val="004F15C0"/>
    <w:rsid w:val="004F2C5A"/>
    <w:rsid w:val="004F2E8A"/>
    <w:rsid w:val="004F3AB2"/>
    <w:rsid w:val="004F3E45"/>
    <w:rsid w:val="004F4249"/>
    <w:rsid w:val="004F59D7"/>
    <w:rsid w:val="004F5C1C"/>
    <w:rsid w:val="004F5FC0"/>
    <w:rsid w:val="004F6833"/>
    <w:rsid w:val="004F6998"/>
    <w:rsid w:val="004F6ACC"/>
    <w:rsid w:val="004F7637"/>
    <w:rsid w:val="004F78FC"/>
    <w:rsid w:val="005018B1"/>
    <w:rsid w:val="00501E6F"/>
    <w:rsid w:val="00501EAB"/>
    <w:rsid w:val="005028E0"/>
    <w:rsid w:val="00502F42"/>
    <w:rsid w:val="005035F3"/>
    <w:rsid w:val="00503FC2"/>
    <w:rsid w:val="0050435B"/>
    <w:rsid w:val="00504464"/>
    <w:rsid w:val="00504829"/>
    <w:rsid w:val="00504886"/>
    <w:rsid w:val="00505E5B"/>
    <w:rsid w:val="0050710C"/>
    <w:rsid w:val="0050772B"/>
    <w:rsid w:val="00510113"/>
    <w:rsid w:val="0051027C"/>
    <w:rsid w:val="00510B8D"/>
    <w:rsid w:val="00511AC5"/>
    <w:rsid w:val="00512208"/>
    <w:rsid w:val="00512634"/>
    <w:rsid w:val="005127F0"/>
    <w:rsid w:val="00512BE0"/>
    <w:rsid w:val="00513753"/>
    <w:rsid w:val="00513A08"/>
    <w:rsid w:val="00513B58"/>
    <w:rsid w:val="0051411B"/>
    <w:rsid w:val="00514347"/>
    <w:rsid w:val="0051604D"/>
    <w:rsid w:val="00516433"/>
    <w:rsid w:val="005178D6"/>
    <w:rsid w:val="00520299"/>
    <w:rsid w:val="005216DE"/>
    <w:rsid w:val="005217B1"/>
    <w:rsid w:val="005219EE"/>
    <w:rsid w:val="00521A51"/>
    <w:rsid w:val="00521DBE"/>
    <w:rsid w:val="005227C0"/>
    <w:rsid w:val="00522E06"/>
    <w:rsid w:val="00523DAB"/>
    <w:rsid w:val="00524089"/>
    <w:rsid w:val="00524698"/>
    <w:rsid w:val="00524849"/>
    <w:rsid w:val="005261FD"/>
    <w:rsid w:val="00526792"/>
    <w:rsid w:val="00526DA7"/>
    <w:rsid w:val="0052721B"/>
    <w:rsid w:val="0052723D"/>
    <w:rsid w:val="00530040"/>
    <w:rsid w:val="00530BF5"/>
    <w:rsid w:val="00530CF1"/>
    <w:rsid w:val="0053108D"/>
    <w:rsid w:val="00531406"/>
    <w:rsid w:val="0053239A"/>
    <w:rsid w:val="005327A1"/>
    <w:rsid w:val="00532B80"/>
    <w:rsid w:val="005338A6"/>
    <w:rsid w:val="00533F80"/>
    <w:rsid w:val="005345C2"/>
    <w:rsid w:val="005359F9"/>
    <w:rsid w:val="0053617D"/>
    <w:rsid w:val="00536F30"/>
    <w:rsid w:val="0053724A"/>
    <w:rsid w:val="005405DD"/>
    <w:rsid w:val="005412BA"/>
    <w:rsid w:val="00541309"/>
    <w:rsid w:val="00541DAC"/>
    <w:rsid w:val="005425B5"/>
    <w:rsid w:val="00543025"/>
    <w:rsid w:val="00543E27"/>
    <w:rsid w:val="005449AD"/>
    <w:rsid w:val="00544C85"/>
    <w:rsid w:val="00544D4C"/>
    <w:rsid w:val="0054676B"/>
    <w:rsid w:val="005467E2"/>
    <w:rsid w:val="00546CAE"/>
    <w:rsid w:val="00546E82"/>
    <w:rsid w:val="00547A6F"/>
    <w:rsid w:val="00547BBA"/>
    <w:rsid w:val="00547E29"/>
    <w:rsid w:val="00547EB2"/>
    <w:rsid w:val="00550CD7"/>
    <w:rsid w:val="00551F0E"/>
    <w:rsid w:val="005520C7"/>
    <w:rsid w:val="00552488"/>
    <w:rsid w:val="005526BA"/>
    <w:rsid w:val="00553378"/>
    <w:rsid w:val="00553897"/>
    <w:rsid w:val="00553EB2"/>
    <w:rsid w:val="00554346"/>
    <w:rsid w:val="0055444D"/>
    <w:rsid w:val="0055619B"/>
    <w:rsid w:val="00557D29"/>
    <w:rsid w:val="00557E77"/>
    <w:rsid w:val="00560ABD"/>
    <w:rsid w:val="00561D34"/>
    <w:rsid w:val="005625DE"/>
    <w:rsid w:val="0056298B"/>
    <w:rsid w:val="00563459"/>
    <w:rsid w:val="00563760"/>
    <w:rsid w:val="00564423"/>
    <w:rsid w:val="00564A8B"/>
    <w:rsid w:val="00565AD2"/>
    <w:rsid w:val="005670D1"/>
    <w:rsid w:val="0056729B"/>
    <w:rsid w:val="005672F8"/>
    <w:rsid w:val="005678DA"/>
    <w:rsid w:val="00567B0A"/>
    <w:rsid w:val="00567CE2"/>
    <w:rsid w:val="005707A3"/>
    <w:rsid w:val="00570B16"/>
    <w:rsid w:val="00570D3A"/>
    <w:rsid w:val="0057133E"/>
    <w:rsid w:val="00571BCD"/>
    <w:rsid w:val="005727EB"/>
    <w:rsid w:val="00572C45"/>
    <w:rsid w:val="00572EF7"/>
    <w:rsid w:val="00576886"/>
    <w:rsid w:val="00576943"/>
    <w:rsid w:val="00576B4B"/>
    <w:rsid w:val="005774F6"/>
    <w:rsid w:val="00577561"/>
    <w:rsid w:val="0057788A"/>
    <w:rsid w:val="00577E71"/>
    <w:rsid w:val="005804F7"/>
    <w:rsid w:val="00580CE4"/>
    <w:rsid w:val="00580FEB"/>
    <w:rsid w:val="005816E6"/>
    <w:rsid w:val="005820F1"/>
    <w:rsid w:val="00582D93"/>
    <w:rsid w:val="0058325E"/>
    <w:rsid w:val="005832C9"/>
    <w:rsid w:val="00584847"/>
    <w:rsid w:val="00584A07"/>
    <w:rsid w:val="0058537E"/>
    <w:rsid w:val="00585662"/>
    <w:rsid w:val="005861DA"/>
    <w:rsid w:val="00586F02"/>
    <w:rsid w:val="005871BB"/>
    <w:rsid w:val="005908E7"/>
    <w:rsid w:val="00590EE1"/>
    <w:rsid w:val="00591376"/>
    <w:rsid w:val="005927F2"/>
    <w:rsid w:val="00592DA3"/>
    <w:rsid w:val="00592E00"/>
    <w:rsid w:val="0059322A"/>
    <w:rsid w:val="00593CCB"/>
    <w:rsid w:val="00593D89"/>
    <w:rsid w:val="00593FB7"/>
    <w:rsid w:val="00594507"/>
    <w:rsid w:val="00594880"/>
    <w:rsid w:val="00594B0B"/>
    <w:rsid w:val="00594CDD"/>
    <w:rsid w:val="005955E9"/>
    <w:rsid w:val="005959B2"/>
    <w:rsid w:val="005A0979"/>
    <w:rsid w:val="005A1D20"/>
    <w:rsid w:val="005A1D30"/>
    <w:rsid w:val="005A1FC7"/>
    <w:rsid w:val="005A215E"/>
    <w:rsid w:val="005A253A"/>
    <w:rsid w:val="005A260B"/>
    <w:rsid w:val="005A30A8"/>
    <w:rsid w:val="005A380A"/>
    <w:rsid w:val="005A4F31"/>
    <w:rsid w:val="005A563C"/>
    <w:rsid w:val="005A661A"/>
    <w:rsid w:val="005A6E63"/>
    <w:rsid w:val="005A7C41"/>
    <w:rsid w:val="005B03E3"/>
    <w:rsid w:val="005B0554"/>
    <w:rsid w:val="005B0E85"/>
    <w:rsid w:val="005B1240"/>
    <w:rsid w:val="005B249E"/>
    <w:rsid w:val="005B2B54"/>
    <w:rsid w:val="005B315F"/>
    <w:rsid w:val="005B3536"/>
    <w:rsid w:val="005B4550"/>
    <w:rsid w:val="005B482D"/>
    <w:rsid w:val="005B54C8"/>
    <w:rsid w:val="005B5987"/>
    <w:rsid w:val="005B5E22"/>
    <w:rsid w:val="005B6619"/>
    <w:rsid w:val="005B6809"/>
    <w:rsid w:val="005B69F3"/>
    <w:rsid w:val="005B769C"/>
    <w:rsid w:val="005B7945"/>
    <w:rsid w:val="005B7F3D"/>
    <w:rsid w:val="005B7FEC"/>
    <w:rsid w:val="005C0203"/>
    <w:rsid w:val="005C0B56"/>
    <w:rsid w:val="005C0C3D"/>
    <w:rsid w:val="005C144C"/>
    <w:rsid w:val="005C210D"/>
    <w:rsid w:val="005C2F2C"/>
    <w:rsid w:val="005C3347"/>
    <w:rsid w:val="005C397A"/>
    <w:rsid w:val="005C3986"/>
    <w:rsid w:val="005C52ED"/>
    <w:rsid w:val="005C5557"/>
    <w:rsid w:val="005C57E5"/>
    <w:rsid w:val="005C6059"/>
    <w:rsid w:val="005C6931"/>
    <w:rsid w:val="005C6F2C"/>
    <w:rsid w:val="005C7132"/>
    <w:rsid w:val="005C7C17"/>
    <w:rsid w:val="005D0FAA"/>
    <w:rsid w:val="005D1427"/>
    <w:rsid w:val="005D1985"/>
    <w:rsid w:val="005D40F1"/>
    <w:rsid w:val="005D461E"/>
    <w:rsid w:val="005D4D87"/>
    <w:rsid w:val="005D51A5"/>
    <w:rsid w:val="005D5AA5"/>
    <w:rsid w:val="005D60E9"/>
    <w:rsid w:val="005D617A"/>
    <w:rsid w:val="005D62C5"/>
    <w:rsid w:val="005D6FC7"/>
    <w:rsid w:val="005D76AB"/>
    <w:rsid w:val="005E0642"/>
    <w:rsid w:val="005E1AB0"/>
    <w:rsid w:val="005E23FA"/>
    <w:rsid w:val="005E3048"/>
    <w:rsid w:val="005E404E"/>
    <w:rsid w:val="005E44EE"/>
    <w:rsid w:val="005E4718"/>
    <w:rsid w:val="005E4DDA"/>
    <w:rsid w:val="005E4FFD"/>
    <w:rsid w:val="005E681F"/>
    <w:rsid w:val="005E7474"/>
    <w:rsid w:val="005E7DA5"/>
    <w:rsid w:val="005F0508"/>
    <w:rsid w:val="005F10F8"/>
    <w:rsid w:val="005F1B7B"/>
    <w:rsid w:val="005F32CF"/>
    <w:rsid w:val="005F3B78"/>
    <w:rsid w:val="005F4C2A"/>
    <w:rsid w:val="005F4C2E"/>
    <w:rsid w:val="005F503D"/>
    <w:rsid w:val="005F51FA"/>
    <w:rsid w:val="005F5404"/>
    <w:rsid w:val="005F571F"/>
    <w:rsid w:val="005F59D7"/>
    <w:rsid w:val="005F622D"/>
    <w:rsid w:val="005F6334"/>
    <w:rsid w:val="005F6884"/>
    <w:rsid w:val="005F7571"/>
    <w:rsid w:val="005F7C96"/>
    <w:rsid w:val="006006F8"/>
    <w:rsid w:val="0060099C"/>
    <w:rsid w:val="0060274F"/>
    <w:rsid w:val="0060335E"/>
    <w:rsid w:val="006033F9"/>
    <w:rsid w:val="00603D27"/>
    <w:rsid w:val="00603E87"/>
    <w:rsid w:val="00604198"/>
    <w:rsid w:val="006048F3"/>
    <w:rsid w:val="00604D6D"/>
    <w:rsid w:val="00605082"/>
    <w:rsid w:val="006052D0"/>
    <w:rsid w:val="00605AE1"/>
    <w:rsid w:val="006068A0"/>
    <w:rsid w:val="00607083"/>
    <w:rsid w:val="00607B4A"/>
    <w:rsid w:val="00612048"/>
    <w:rsid w:val="00613102"/>
    <w:rsid w:val="00613BEC"/>
    <w:rsid w:val="006148F6"/>
    <w:rsid w:val="00615C3F"/>
    <w:rsid w:val="006162E0"/>
    <w:rsid w:val="00616D3E"/>
    <w:rsid w:val="00617AD4"/>
    <w:rsid w:val="00617CA7"/>
    <w:rsid w:val="00617CAB"/>
    <w:rsid w:val="0062061C"/>
    <w:rsid w:val="00620C48"/>
    <w:rsid w:val="0062104E"/>
    <w:rsid w:val="00621113"/>
    <w:rsid w:val="00621552"/>
    <w:rsid w:val="00621C59"/>
    <w:rsid w:val="00622058"/>
    <w:rsid w:val="00622C9B"/>
    <w:rsid w:val="00622DB8"/>
    <w:rsid w:val="00622F8A"/>
    <w:rsid w:val="00623524"/>
    <w:rsid w:val="00623C74"/>
    <w:rsid w:val="00624CE5"/>
    <w:rsid w:val="00624DDC"/>
    <w:rsid w:val="0062537A"/>
    <w:rsid w:val="00625D1C"/>
    <w:rsid w:val="006267C5"/>
    <w:rsid w:val="006273D7"/>
    <w:rsid w:val="00627746"/>
    <w:rsid w:val="00627757"/>
    <w:rsid w:val="006304F8"/>
    <w:rsid w:val="006308C9"/>
    <w:rsid w:val="00630F8E"/>
    <w:rsid w:val="006336C5"/>
    <w:rsid w:val="00633DF3"/>
    <w:rsid w:val="00634020"/>
    <w:rsid w:val="006344A9"/>
    <w:rsid w:val="00634A21"/>
    <w:rsid w:val="006351CE"/>
    <w:rsid w:val="0063532C"/>
    <w:rsid w:val="00635A3E"/>
    <w:rsid w:val="0063650D"/>
    <w:rsid w:val="0063702E"/>
    <w:rsid w:val="00637713"/>
    <w:rsid w:val="00637C63"/>
    <w:rsid w:val="00637FCA"/>
    <w:rsid w:val="0064014F"/>
    <w:rsid w:val="00640561"/>
    <w:rsid w:val="006408BB"/>
    <w:rsid w:val="006412CC"/>
    <w:rsid w:val="0064160A"/>
    <w:rsid w:val="00642205"/>
    <w:rsid w:val="0064396A"/>
    <w:rsid w:val="00643A3C"/>
    <w:rsid w:val="00643EFE"/>
    <w:rsid w:val="00644FDB"/>
    <w:rsid w:val="006453BA"/>
    <w:rsid w:val="006454CB"/>
    <w:rsid w:val="00645A0D"/>
    <w:rsid w:val="00645CCF"/>
    <w:rsid w:val="00645D38"/>
    <w:rsid w:val="00646954"/>
    <w:rsid w:val="00647716"/>
    <w:rsid w:val="00647E5C"/>
    <w:rsid w:val="006505B8"/>
    <w:rsid w:val="00650637"/>
    <w:rsid w:val="0065071F"/>
    <w:rsid w:val="00650B94"/>
    <w:rsid w:val="00650DAD"/>
    <w:rsid w:val="00651264"/>
    <w:rsid w:val="0065325D"/>
    <w:rsid w:val="0065372D"/>
    <w:rsid w:val="00653A1A"/>
    <w:rsid w:val="006556C0"/>
    <w:rsid w:val="00655763"/>
    <w:rsid w:val="00655B5A"/>
    <w:rsid w:val="00655F58"/>
    <w:rsid w:val="0065637B"/>
    <w:rsid w:val="006569AF"/>
    <w:rsid w:val="00656A9D"/>
    <w:rsid w:val="00656D48"/>
    <w:rsid w:val="006570A8"/>
    <w:rsid w:val="0065726D"/>
    <w:rsid w:val="006572CA"/>
    <w:rsid w:val="0065797D"/>
    <w:rsid w:val="00657B92"/>
    <w:rsid w:val="00657F0E"/>
    <w:rsid w:val="00660770"/>
    <w:rsid w:val="00661102"/>
    <w:rsid w:val="00661777"/>
    <w:rsid w:val="00661D69"/>
    <w:rsid w:val="0066216C"/>
    <w:rsid w:val="0066229E"/>
    <w:rsid w:val="00662E04"/>
    <w:rsid w:val="00662FC6"/>
    <w:rsid w:val="006634C6"/>
    <w:rsid w:val="006641ED"/>
    <w:rsid w:val="006649BF"/>
    <w:rsid w:val="00664DF7"/>
    <w:rsid w:val="00664E2D"/>
    <w:rsid w:val="006651C0"/>
    <w:rsid w:val="00665DEF"/>
    <w:rsid w:val="00665E24"/>
    <w:rsid w:val="006663CE"/>
    <w:rsid w:val="006669F9"/>
    <w:rsid w:val="006671A6"/>
    <w:rsid w:val="00667BD8"/>
    <w:rsid w:val="006704AA"/>
    <w:rsid w:val="00672029"/>
    <w:rsid w:val="00672834"/>
    <w:rsid w:val="0067326B"/>
    <w:rsid w:val="00673356"/>
    <w:rsid w:val="0067335A"/>
    <w:rsid w:val="0067361C"/>
    <w:rsid w:val="006738AB"/>
    <w:rsid w:val="00673E84"/>
    <w:rsid w:val="00674CA3"/>
    <w:rsid w:val="00674CE8"/>
    <w:rsid w:val="00674F04"/>
    <w:rsid w:val="00675494"/>
    <w:rsid w:val="00675575"/>
    <w:rsid w:val="00675D44"/>
    <w:rsid w:val="00675F11"/>
    <w:rsid w:val="0067620D"/>
    <w:rsid w:val="006778ED"/>
    <w:rsid w:val="00680812"/>
    <w:rsid w:val="0068087A"/>
    <w:rsid w:val="00681799"/>
    <w:rsid w:val="00681BB7"/>
    <w:rsid w:val="00681DB4"/>
    <w:rsid w:val="00682842"/>
    <w:rsid w:val="00683602"/>
    <w:rsid w:val="006838E2"/>
    <w:rsid w:val="00683987"/>
    <w:rsid w:val="00683EB0"/>
    <w:rsid w:val="0068418D"/>
    <w:rsid w:val="0068445F"/>
    <w:rsid w:val="006849B7"/>
    <w:rsid w:val="00684D54"/>
    <w:rsid w:val="00685C7D"/>
    <w:rsid w:val="006864C2"/>
    <w:rsid w:val="006873A8"/>
    <w:rsid w:val="0068740B"/>
    <w:rsid w:val="006875DB"/>
    <w:rsid w:val="00690F76"/>
    <w:rsid w:val="00691213"/>
    <w:rsid w:val="006915B2"/>
    <w:rsid w:val="00691A09"/>
    <w:rsid w:val="006922FF"/>
    <w:rsid w:val="006924BF"/>
    <w:rsid w:val="00692980"/>
    <w:rsid w:val="006931B3"/>
    <w:rsid w:val="00693848"/>
    <w:rsid w:val="00693D40"/>
    <w:rsid w:val="00693F54"/>
    <w:rsid w:val="006951D7"/>
    <w:rsid w:val="0069567E"/>
    <w:rsid w:val="006964E7"/>
    <w:rsid w:val="0069664E"/>
    <w:rsid w:val="00696952"/>
    <w:rsid w:val="00696AB2"/>
    <w:rsid w:val="00696F39"/>
    <w:rsid w:val="006974B0"/>
    <w:rsid w:val="006977FB"/>
    <w:rsid w:val="006A0652"/>
    <w:rsid w:val="006A299F"/>
    <w:rsid w:val="006A2C90"/>
    <w:rsid w:val="006A397A"/>
    <w:rsid w:val="006A3AC8"/>
    <w:rsid w:val="006A3F70"/>
    <w:rsid w:val="006A415D"/>
    <w:rsid w:val="006A469B"/>
    <w:rsid w:val="006A5262"/>
    <w:rsid w:val="006A5403"/>
    <w:rsid w:val="006A5A34"/>
    <w:rsid w:val="006A5EE6"/>
    <w:rsid w:val="006A718A"/>
    <w:rsid w:val="006A722C"/>
    <w:rsid w:val="006A7624"/>
    <w:rsid w:val="006A7660"/>
    <w:rsid w:val="006A76ED"/>
    <w:rsid w:val="006A77AA"/>
    <w:rsid w:val="006A7C23"/>
    <w:rsid w:val="006A7D77"/>
    <w:rsid w:val="006B0E8D"/>
    <w:rsid w:val="006B2091"/>
    <w:rsid w:val="006B2139"/>
    <w:rsid w:val="006B2659"/>
    <w:rsid w:val="006B32BB"/>
    <w:rsid w:val="006B47DB"/>
    <w:rsid w:val="006B65E4"/>
    <w:rsid w:val="006B6938"/>
    <w:rsid w:val="006C076F"/>
    <w:rsid w:val="006C09A8"/>
    <w:rsid w:val="006C126B"/>
    <w:rsid w:val="006C135A"/>
    <w:rsid w:val="006C1833"/>
    <w:rsid w:val="006C2F42"/>
    <w:rsid w:val="006C3E78"/>
    <w:rsid w:val="006C49B1"/>
    <w:rsid w:val="006C4BBA"/>
    <w:rsid w:val="006C53EC"/>
    <w:rsid w:val="006C5433"/>
    <w:rsid w:val="006C6926"/>
    <w:rsid w:val="006C692B"/>
    <w:rsid w:val="006C6967"/>
    <w:rsid w:val="006C7D6E"/>
    <w:rsid w:val="006C7DF9"/>
    <w:rsid w:val="006D038A"/>
    <w:rsid w:val="006D041D"/>
    <w:rsid w:val="006D07F7"/>
    <w:rsid w:val="006D0820"/>
    <w:rsid w:val="006D2114"/>
    <w:rsid w:val="006D2A95"/>
    <w:rsid w:val="006D2BDD"/>
    <w:rsid w:val="006D377A"/>
    <w:rsid w:val="006D38AF"/>
    <w:rsid w:val="006D3F35"/>
    <w:rsid w:val="006D4B94"/>
    <w:rsid w:val="006D4F4B"/>
    <w:rsid w:val="006D4FC7"/>
    <w:rsid w:val="006D5839"/>
    <w:rsid w:val="006D6590"/>
    <w:rsid w:val="006D6860"/>
    <w:rsid w:val="006D6A9E"/>
    <w:rsid w:val="006D6AB7"/>
    <w:rsid w:val="006D6D76"/>
    <w:rsid w:val="006D714F"/>
    <w:rsid w:val="006E0759"/>
    <w:rsid w:val="006E0A30"/>
    <w:rsid w:val="006E0CD1"/>
    <w:rsid w:val="006E0FDA"/>
    <w:rsid w:val="006E1684"/>
    <w:rsid w:val="006E18FD"/>
    <w:rsid w:val="006E3939"/>
    <w:rsid w:val="006E40B4"/>
    <w:rsid w:val="006E4329"/>
    <w:rsid w:val="006E4534"/>
    <w:rsid w:val="006E4721"/>
    <w:rsid w:val="006E6E23"/>
    <w:rsid w:val="006F12C6"/>
    <w:rsid w:val="006F12D0"/>
    <w:rsid w:val="006F138C"/>
    <w:rsid w:val="006F1A9C"/>
    <w:rsid w:val="006F1E48"/>
    <w:rsid w:val="006F1F86"/>
    <w:rsid w:val="006F20C0"/>
    <w:rsid w:val="006F2195"/>
    <w:rsid w:val="006F2777"/>
    <w:rsid w:val="006F3185"/>
    <w:rsid w:val="006F35A4"/>
    <w:rsid w:val="006F37C3"/>
    <w:rsid w:val="006F3916"/>
    <w:rsid w:val="006F4915"/>
    <w:rsid w:val="006F4B13"/>
    <w:rsid w:val="006F4D01"/>
    <w:rsid w:val="006F6BAF"/>
    <w:rsid w:val="006F7061"/>
    <w:rsid w:val="006F79E1"/>
    <w:rsid w:val="006F7D7F"/>
    <w:rsid w:val="00700631"/>
    <w:rsid w:val="00701931"/>
    <w:rsid w:val="00701BA6"/>
    <w:rsid w:val="007020DE"/>
    <w:rsid w:val="007022E8"/>
    <w:rsid w:val="00702E30"/>
    <w:rsid w:val="00703970"/>
    <w:rsid w:val="0070405B"/>
    <w:rsid w:val="007041CB"/>
    <w:rsid w:val="0070451D"/>
    <w:rsid w:val="0070572F"/>
    <w:rsid w:val="00706462"/>
    <w:rsid w:val="00707480"/>
    <w:rsid w:val="00707DF9"/>
    <w:rsid w:val="00707EDA"/>
    <w:rsid w:val="00710A7D"/>
    <w:rsid w:val="0071122F"/>
    <w:rsid w:val="0071188F"/>
    <w:rsid w:val="007120A4"/>
    <w:rsid w:val="007122F9"/>
    <w:rsid w:val="007128CD"/>
    <w:rsid w:val="007128EF"/>
    <w:rsid w:val="0071290A"/>
    <w:rsid w:val="00712D5F"/>
    <w:rsid w:val="007135A5"/>
    <w:rsid w:val="00713AF4"/>
    <w:rsid w:val="00713BD8"/>
    <w:rsid w:val="00713DFE"/>
    <w:rsid w:val="007144D4"/>
    <w:rsid w:val="007146CF"/>
    <w:rsid w:val="00714827"/>
    <w:rsid w:val="0071572F"/>
    <w:rsid w:val="00715818"/>
    <w:rsid w:val="007176B7"/>
    <w:rsid w:val="00717989"/>
    <w:rsid w:val="007206C7"/>
    <w:rsid w:val="00720F55"/>
    <w:rsid w:val="00720FFC"/>
    <w:rsid w:val="0072161B"/>
    <w:rsid w:val="007216B9"/>
    <w:rsid w:val="007219F7"/>
    <w:rsid w:val="00721AAD"/>
    <w:rsid w:val="00722207"/>
    <w:rsid w:val="00722698"/>
    <w:rsid w:val="0072393C"/>
    <w:rsid w:val="00723DD9"/>
    <w:rsid w:val="00724BB7"/>
    <w:rsid w:val="00725477"/>
    <w:rsid w:val="00725EEA"/>
    <w:rsid w:val="00726173"/>
    <w:rsid w:val="00727777"/>
    <w:rsid w:val="0073065B"/>
    <w:rsid w:val="00731352"/>
    <w:rsid w:val="007313E2"/>
    <w:rsid w:val="00731A21"/>
    <w:rsid w:val="00731EE1"/>
    <w:rsid w:val="00732021"/>
    <w:rsid w:val="007329EC"/>
    <w:rsid w:val="00733076"/>
    <w:rsid w:val="0073316D"/>
    <w:rsid w:val="00733640"/>
    <w:rsid w:val="00733CC5"/>
    <w:rsid w:val="007344CA"/>
    <w:rsid w:val="007348D1"/>
    <w:rsid w:val="00734938"/>
    <w:rsid w:val="00735871"/>
    <w:rsid w:val="0073595F"/>
    <w:rsid w:val="00735E3F"/>
    <w:rsid w:val="00737C55"/>
    <w:rsid w:val="00740304"/>
    <w:rsid w:val="007407B6"/>
    <w:rsid w:val="00741667"/>
    <w:rsid w:val="007427A3"/>
    <w:rsid w:val="00742AC8"/>
    <w:rsid w:val="00743158"/>
    <w:rsid w:val="0074361F"/>
    <w:rsid w:val="007438C5"/>
    <w:rsid w:val="00743E30"/>
    <w:rsid w:val="0074440A"/>
    <w:rsid w:val="00744479"/>
    <w:rsid w:val="00745212"/>
    <w:rsid w:val="00745BDB"/>
    <w:rsid w:val="00746A71"/>
    <w:rsid w:val="0074789C"/>
    <w:rsid w:val="00747A53"/>
    <w:rsid w:val="00750135"/>
    <w:rsid w:val="00750887"/>
    <w:rsid w:val="00751BFF"/>
    <w:rsid w:val="00751C89"/>
    <w:rsid w:val="00751CDD"/>
    <w:rsid w:val="00751EA5"/>
    <w:rsid w:val="0075245A"/>
    <w:rsid w:val="00753078"/>
    <w:rsid w:val="0075323C"/>
    <w:rsid w:val="0075398F"/>
    <w:rsid w:val="00754074"/>
    <w:rsid w:val="00754228"/>
    <w:rsid w:val="00754CF3"/>
    <w:rsid w:val="00754D77"/>
    <w:rsid w:val="00755AC5"/>
    <w:rsid w:val="00756153"/>
    <w:rsid w:val="00756EDF"/>
    <w:rsid w:val="007571C2"/>
    <w:rsid w:val="0075797E"/>
    <w:rsid w:val="00760091"/>
    <w:rsid w:val="007602D8"/>
    <w:rsid w:val="007607AA"/>
    <w:rsid w:val="00760E8E"/>
    <w:rsid w:val="007616C2"/>
    <w:rsid w:val="007625D8"/>
    <w:rsid w:val="00762A58"/>
    <w:rsid w:val="00763CE6"/>
    <w:rsid w:val="00764233"/>
    <w:rsid w:val="00764D15"/>
    <w:rsid w:val="00765AF5"/>
    <w:rsid w:val="007674FC"/>
    <w:rsid w:val="00770900"/>
    <w:rsid w:val="00771356"/>
    <w:rsid w:val="00771DF5"/>
    <w:rsid w:val="00771E6A"/>
    <w:rsid w:val="007722B5"/>
    <w:rsid w:val="007722EB"/>
    <w:rsid w:val="00772BC0"/>
    <w:rsid w:val="00772F5B"/>
    <w:rsid w:val="00773608"/>
    <w:rsid w:val="00773AE5"/>
    <w:rsid w:val="007743BB"/>
    <w:rsid w:val="007743D7"/>
    <w:rsid w:val="007745B3"/>
    <w:rsid w:val="007752F0"/>
    <w:rsid w:val="00775724"/>
    <w:rsid w:val="0077769F"/>
    <w:rsid w:val="007777A6"/>
    <w:rsid w:val="00777EED"/>
    <w:rsid w:val="007800DA"/>
    <w:rsid w:val="00781197"/>
    <w:rsid w:val="007816EB"/>
    <w:rsid w:val="00781831"/>
    <w:rsid w:val="00781FBE"/>
    <w:rsid w:val="00782597"/>
    <w:rsid w:val="00782A76"/>
    <w:rsid w:val="007838AE"/>
    <w:rsid w:val="007851A0"/>
    <w:rsid w:val="00786032"/>
    <w:rsid w:val="00786910"/>
    <w:rsid w:val="00786E91"/>
    <w:rsid w:val="007879AA"/>
    <w:rsid w:val="00787C94"/>
    <w:rsid w:val="0079091D"/>
    <w:rsid w:val="00790F5E"/>
    <w:rsid w:val="0079124F"/>
    <w:rsid w:val="00791480"/>
    <w:rsid w:val="00791588"/>
    <w:rsid w:val="0079179B"/>
    <w:rsid w:val="007918CC"/>
    <w:rsid w:val="00791ECE"/>
    <w:rsid w:val="00792DE9"/>
    <w:rsid w:val="00792E4B"/>
    <w:rsid w:val="00794080"/>
    <w:rsid w:val="0079441B"/>
    <w:rsid w:val="00794AA6"/>
    <w:rsid w:val="00795DCD"/>
    <w:rsid w:val="00796633"/>
    <w:rsid w:val="00796FFE"/>
    <w:rsid w:val="00797853"/>
    <w:rsid w:val="007A0A85"/>
    <w:rsid w:val="007A0AEA"/>
    <w:rsid w:val="007A1900"/>
    <w:rsid w:val="007A1B6D"/>
    <w:rsid w:val="007A1C05"/>
    <w:rsid w:val="007A1C9D"/>
    <w:rsid w:val="007A1CDE"/>
    <w:rsid w:val="007A23E6"/>
    <w:rsid w:val="007A2B3F"/>
    <w:rsid w:val="007A2F1C"/>
    <w:rsid w:val="007A3029"/>
    <w:rsid w:val="007A3715"/>
    <w:rsid w:val="007A3E98"/>
    <w:rsid w:val="007A4B54"/>
    <w:rsid w:val="007A6934"/>
    <w:rsid w:val="007A6DDC"/>
    <w:rsid w:val="007A7CF9"/>
    <w:rsid w:val="007B0165"/>
    <w:rsid w:val="007B0903"/>
    <w:rsid w:val="007B09A1"/>
    <w:rsid w:val="007B0FC5"/>
    <w:rsid w:val="007B169A"/>
    <w:rsid w:val="007B205C"/>
    <w:rsid w:val="007B2749"/>
    <w:rsid w:val="007B307F"/>
    <w:rsid w:val="007B3AB2"/>
    <w:rsid w:val="007B453E"/>
    <w:rsid w:val="007B49E2"/>
    <w:rsid w:val="007B52A7"/>
    <w:rsid w:val="007B5C42"/>
    <w:rsid w:val="007B60C3"/>
    <w:rsid w:val="007B716F"/>
    <w:rsid w:val="007C16A1"/>
    <w:rsid w:val="007C24C0"/>
    <w:rsid w:val="007C294D"/>
    <w:rsid w:val="007C2F9D"/>
    <w:rsid w:val="007C321B"/>
    <w:rsid w:val="007C357B"/>
    <w:rsid w:val="007C3DA9"/>
    <w:rsid w:val="007C4A5A"/>
    <w:rsid w:val="007C4D39"/>
    <w:rsid w:val="007C5704"/>
    <w:rsid w:val="007C6522"/>
    <w:rsid w:val="007C72BA"/>
    <w:rsid w:val="007D0E42"/>
    <w:rsid w:val="007D112E"/>
    <w:rsid w:val="007D2BF3"/>
    <w:rsid w:val="007D2C9F"/>
    <w:rsid w:val="007D2DAA"/>
    <w:rsid w:val="007D3320"/>
    <w:rsid w:val="007D50AF"/>
    <w:rsid w:val="007D5B83"/>
    <w:rsid w:val="007D6268"/>
    <w:rsid w:val="007D64C3"/>
    <w:rsid w:val="007D666A"/>
    <w:rsid w:val="007D66A5"/>
    <w:rsid w:val="007D70A9"/>
    <w:rsid w:val="007D7156"/>
    <w:rsid w:val="007D746E"/>
    <w:rsid w:val="007D76CC"/>
    <w:rsid w:val="007D7815"/>
    <w:rsid w:val="007D78C1"/>
    <w:rsid w:val="007D7ED7"/>
    <w:rsid w:val="007E11B7"/>
    <w:rsid w:val="007E1E92"/>
    <w:rsid w:val="007E200D"/>
    <w:rsid w:val="007E289D"/>
    <w:rsid w:val="007E32B8"/>
    <w:rsid w:val="007E47F1"/>
    <w:rsid w:val="007E48BB"/>
    <w:rsid w:val="007E4D33"/>
    <w:rsid w:val="007E4EFF"/>
    <w:rsid w:val="007E57AF"/>
    <w:rsid w:val="007E5CD5"/>
    <w:rsid w:val="007E5FF5"/>
    <w:rsid w:val="007E64D0"/>
    <w:rsid w:val="007E6CD5"/>
    <w:rsid w:val="007E6FDF"/>
    <w:rsid w:val="007F0C45"/>
    <w:rsid w:val="007F115B"/>
    <w:rsid w:val="007F1B95"/>
    <w:rsid w:val="007F29C7"/>
    <w:rsid w:val="007F30F5"/>
    <w:rsid w:val="007F4952"/>
    <w:rsid w:val="007F4C59"/>
    <w:rsid w:val="007F5009"/>
    <w:rsid w:val="007F5E72"/>
    <w:rsid w:val="007F6110"/>
    <w:rsid w:val="007F6229"/>
    <w:rsid w:val="007F74E5"/>
    <w:rsid w:val="007F785C"/>
    <w:rsid w:val="007F7947"/>
    <w:rsid w:val="0080008E"/>
    <w:rsid w:val="00800F41"/>
    <w:rsid w:val="00801663"/>
    <w:rsid w:val="00801A17"/>
    <w:rsid w:val="00801CF2"/>
    <w:rsid w:val="008023A0"/>
    <w:rsid w:val="00803CBE"/>
    <w:rsid w:val="00804191"/>
    <w:rsid w:val="00805684"/>
    <w:rsid w:val="0080757D"/>
    <w:rsid w:val="00810832"/>
    <w:rsid w:val="00811055"/>
    <w:rsid w:val="00811400"/>
    <w:rsid w:val="00811657"/>
    <w:rsid w:val="00811967"/>
    <w:rsid w:val="00811AA5"/>
    <w:rsid w:val="00811FAF"/>
    <w:rsid w:val="00812086"/>
    <w:rsid w:val="00812B43"/>
    <w:rsid w:val="00812D67"/>
    <w:rsid w:val="008135ED"/>
    <w:rsid w:val="008137B3"/>
    <w:rsid w:val="0081420C"/>
    <w:rsid w:val="00814D6E"/>
    <w:rsid w:val="00814F6A"/>
    <w:rsid w:val="00816FF0"/>
    <w:rsid w:val="00817390"/>
    <w:rsid w:val="0081757A"/>
    <w:rsid w:val="00820A27"/>
    <w:rsid w:val="00821537"/>
    <w:rsid w:val="008215D3"/>
    <w:rsid w:val="008218B6"/>
    <w:rsid w:val="00822389"/>
    <w:rsid w:val="0082358D"/>
    <w:rsid w:val="008239F1"/>
    <w:rsid w:val="00823C41"/>
    <w:rsid w:val="00823E80"/>
    <w:rsid w:val="00824B1E"/>
    <w:rsid w:val="0082503A"/>
    <w:rsid w:val="00825463"/>
    <w:rsid w:val="00825E5B"/>
    <w:rsid w:val="00825E98"/>
    <w:rsid w:val="008262A1"/>
    <w:rsid w:val="00826443"/>
    <w:rsid w:val="00826ECD"/>
    <w:rsid w:val="00827049"/>
    <w:rsid w:val="0082796E"/>
    <w:rsid w:val="00830A47"/>
    <w:rsid w:val="008320B4"/>
    <w:rsid w:val="00832C14"/>
    <w:rsid w:val="008330A4"/>
    <w:rsid w:val="008335B7"/>
    <w:rsid w:val="008343BF"/>
    <w:rsid w:val="00834592"/>
    <w:rsid w:val="00834A36"/>
    <w:rsid w:val="00834EDF"/>
    <w:rsid w:val="008371D7"/>
    <w:rsid w:val="008401A6"/>
    <w:rsid w:val="008401E9"/>
    <w:rsid w:val="008414F1"/>
    <w:rsid w:val="0084166C"/>
    <w:rsid w:val="0084188B"/>
    <w:rsid w:val="00841EAF"/>
    <w:rsid w:val="00842C97"/>
    <w:rsid w:val="00843588"/>
    <w:rsid w:val="008438EB"/>
    <w:rsid w:val="00843F2A"/>
    <w:rsid w:val="00844485"/>
    <w:rsid w:val="00844A2A"/>
    <w:rsid w:val="00844AD5"/>
    <w:rsid w:val="00845061"/>
    <w:rsid w:val="00845D93"/>
    <w:rsid w:val="00845EB5"/>
    <w:rsid w:val="008462B0"/>
    <w:rsid w:val="008462E6"/>
    <w:rsid w:val="008468F0"/>
    <w:rsid w:val="00846F8F"/>
    <w:rsid w:val="00847D13"/>
    <w:rsid w:val="00847E00"/>
    <w:rsid w:val="00850171"/>
    <w:rsid w:val="00850499"/>
    <w:rsid w:val="00850B14"/>
    <w:rsid w:val="00851A8F"/>
    <w:rsid w:val="00851E2D"/>
    <w:rsid w:val="00853C62"/>
    <w:rsid w:val="008542AE"/>
    <w:rsid w:val="0085432C"/>
    <w:rsid w:val="00854C3C"/>
    <w:rsid w:val="00855720"/>
    <w:rsid w:val="00855B3F"/>
    <w:rsid w:val="00855F8D"/>
    <w:rsid w:val="0085630A"/>
    <w:rsid w:val="0085634B"/>
    <w:rsid w:val="00856416"/>
    <w:rsid w:val="00856853"/>
    <w:rsid w:val="00856A96"/>
    <w:rsid w:val="00857D4A"/>
    <w:rsid w:val="00857DB0"/>
    <w:rsid w:val="008602D0"/>
    <w:rsid w:val="0086077C"/>
    <w:rsid w:val="008615A8"/>
    <w:rsid w:val="0086173A"/>
    <w:rsid w:val="0086247F"/>
    <w:rsid w:val="0086276D"/>
    <w:rsid w:val="00863314"/>
    <w:rsid w:val="00863C7D"/>
    <w:rsid w:val="008643B0"/>
    <w:rsid w:val="008660E5"/>
    <w:rsid w:val="00866367"/>
    <w:rsid w:val="008664E4"/>
    <w:rsid w:val="00866B1D"/>
    <w:rsid w:val="00867483"/>
    <w:rsid w:val="00867693"/>
    <w:rsid w:val="008678C1"/>
    <w:rsid w:val="008723C9"/>
    <w:rsid w:val="00872535"/>
    <w:rsid w:val="008730A7"/>
    <w:rsid w:val="008734F7"/>
    <w:rsid w:val="008738B1"/>
    <w:rsid w:val="00873D82"/>
    <w:rsid w:val="008743AD"/>
    <w:rsid w:val="008750F2"/>
    <w:rsid w:val="00875516"/>
    <w:rsid w:val="00876102"/>
    <w:rsid w:val="00876517"/>
    <w:rsid w:val="00876983"/>
    <w:rsid w:val="00876DFF"/>
    <w:rsid w:val="00876F56"/>
    <w:rsid w:val="00876FBB"/>
    <w:rsid w:val="0087728B"/>
    <w:rsid w:val="0087743C"/>
    <w:rsid w:val="00877491"/>
    <w:rsid w:val="00877F4C"/>
    <w:rsid w:val="00880383"/>
    <w:rsid w:val="00880CC4"/>
    <w:rsid w:val="00880FCC"/>
    <w:rsid w:val="00881D0B"/>
    <w:rsid w:val="008824F9"/>
    <w:rsid w:val="008827FF"/>
    <w:rsid w:val="00883922"/>
    <w:rsid w:val="008839FB"/>
    <w:rsid w:val="00884F69"/>
    <w:rsid w:val="00885208"/>
    <w:rsid w:val="00885672"/>
    <w:rsid w:val="00886179"/>
    <w:rsid w:val="00887EE8"/>
    <w:rsid w:val="0089056A"/>
    <w:rsid w:val="00890BBF"/>
    <w:rsid w:val="00891715"/>
    <w:rsid w:val="00891742"/>
    <w:rsid w:val="008917B4"/>
    <w:rsid w:val="00891B3F"/>
    <w:rsid w:val="00891E1C"/>
    <w:rsid w:val="00891FF8"/>
    <w:rsid w:val="008926FE"/>
    <w:rsid w:val="0089384B"/>
    <w:rsid w:val="00894430"/>
    <w:rsid w:val="0089493D"/>
    <w:rsid w:val="008955B9"/>
    <w:rsid w:val="0089630E"/>
    <w:rsid w:val="008967EC"/>
    <w:rsid w:val="00896A2E"/>
    <w:rsid w:val="008971DE"/>
    <w:rsid w:val="00897E76"/>
    <w:rsid w:val="00897FB6"/>
    <w:rsid w:val="008A042D"/>
    <w:rsid w:val="008A04C1"/>
    <w:rsid w:val="008A0520"/>
    <w:rsid w:val="008A07A4"/>
    <w:rsid w:val="008A0D98"/>
    <w:rsid w:val="008A185B"/>
    <w:rsid w:val="008A2846"/>
    <w:rsid w:val="008A3F13"/>
    <w:rsid w:val="008A462E"/>
    <w:rsid w:val="008A541B"/>
    <w:rsid w:val="008A5E3F"/>
    <w:rsid w:val="008A6849"/>
    <w:rsid w:val="008A7B07"/>
    <w:rsid w:val="008B0396"/>
    <w:rsid w:val="008B0F0D"/>
    <w:rsid w:val="008B1867"/>
    <w:rsid w:val="008B2CA1"/>
    <w:rsid w:val="008B2F05"/>
    <w:rsid w:val="008B47AE"/>
    <w:rsid w:val="008B6627"/>
    <w:rsid w:val="008B66A3"/>
    <w:rsid w:val="008B69BB"/>
    <w:rsid w:val="008B7D23"/>
    <w:rsid w:val="008C0A19"/>
    <w:rsid w:val="008C13FD"/>
    <w:rsid w:val="008C1F68"/>
    <w:rsid w:val="008C2104"/>
    <w:rsid w:val="008C2518"/>
    <w:rsid w:val="008C27B3"/>
    <w:rsid w:val="008C2A59"/>
    <w:rsid w:val="008C2BEB"/>
    <w:rsid w:val="008C3083"/>
    <w:rsid w:val="008C4D94"/>
    <w:rsid w:val="008C7D92"/>
    <w:rsid w:val="008D01B5"/>
    <w:rsid w:val="008D040F"/>
    <w:rsid w:val="008D0B67"/>
    <w:rsid w:val="008D1783"/>
    <w:rsid w:val="008D1EA4"/>
    <w:rsid w:val="008D1F13"/>
    <w:rsid w:val="008D204E"/>
    <w:rsid w:val="008D269F"/>
    <w:rsid w:val="008D322B"/>
    <w:rsid w:val="008D3A42"/>
    <w:rsid w:val="008D3A8F"/>
    <w:rsid w:val="008D464A"/>
    <w:rsid w:val="008D46C0"/>
    <w:rsid w:val="008D49F7"/>
    <w:rsid w:val="008D6CAD"/>
    <w:rsid w:val="008D6CDB"/>
    <w:rsid w:val="008D7845"/>
    <w:rsid w:val="008E0008"/>
    <w:rsid w:val="008E08C9"/>
    <w:rsid w:val="008E08E4"/>
    <w:rsid w:val="008E0B18"/>
    <w:rsid w:val="008E13D7"/>
    <w:rsid w:val="008E1587"/>
    <w:rsid w:val="008E1644"/>
    <w:rsid w:val="008E1AD0"/>
    <w:rsid w:val="008E299A"/>
    <w:rsid w:val="008E3589"/>
    <w:rsid w:val="008E45B9"/>
    <w:rsid w:val="008E5E68"/>
    <w:rsid w:val="008E666F"/>
    <w:rsid w:val="008E7FDF"/>
    <w:rsid w:val="008F082B"/>
    <w:rsid w:val="008F0884"/>
    <w:rsid w:val="008F0F64"/>
    <w:rsid w:val="008F1BF1"/>
    <w:rsid w:val="008F2ABB"/>
    <w:rsid w:val="008F2EEC"/>
    <w:rsid w:val="008F450B"/>
    <w:rsid w:val="008F50D6"/>
    <w:rsid w:val="008F5255"/>
    <w:rsid w:val="008F7340"/>
    <w:rsid w:val="00900DB4"/>
    <w:rsid w:val="00900F8C"/>
    <w:rsid w:val="009013B8"/>
    <w:rsid w:val="00901502"/>
    <w:rsid w:val="00901689"/>
    <w:rsid w:val="00901C87"/>
    <w:rsid w:val="00902B25"/>
    <w:rsid w:val="00902E45"/>
    <w:rsid w:val="00903313"/>
    <w:rsid w:val="00903BC7"/>
    <w:rsid w:val="009046F7"/>
    <w:rsid w:val="00904CE7"/>
    <w:rsid w:val="00905025"/>
    <w:rsid w:val="00905658"/>
    <w:rsid w:val="009056E4"/>
    <w:rsid w:val="0090625F"/>
    <w:rsid w:val="0091020D"/>
    <w:rsid w:val="0091057A"/>
    <w:rsid w:val="00911810"/>
    <w:rsid w:val="00911A21"/>
    <w:rsid w:val="00911BB5"/>
    <w:rsid w:val="009120CD"/>
    <w:rsid w:val="009124C9"/>
    <w:rsid w:val="00912DC3"/>
    <w:rsid w:val="009133D5"/>
    <w:rsid w:val="009145FF"/>
    <w:rsid w:val="009147F2"/>
    <w:rsid w:val="0091521F"/>
    <w:rsid w:val="009153BF"/>
    <w:rsid w:val="009157D1"/>
    <w:rsid w:val="00915C69"/>
    <w:rsid w:val="009168A9"/>
    <w:rsid w:val="00916CD4"/>
    <w:rsid w:val="00916EAA"/>
    <w:rsid w:val="009202A6"/>
    <w:rsid w:val="009203FE"/>
    <w:rsid w:val="009206D6"/>
    <w:rsid w:val="00922232"/>
    <w:rsid w:val="00922C61"/>
    <w:rsid w:val="00922CD7"/>
    <w:rsid w:val="009232C4"/>
    <w:rsid w:val="00924A37"/>
    <w:rsid w:val="00924B8E"/>
    <w:rsid w:val="00924EC0"/>
    <w:rsid w:val="00924F12"/>
    <w:rsid w:val="00925AA7"/>
    <w:rsid w:val="00925C11"/>
    <w:rsid w:val="009263D7"/>
    <w:rsid w:val="009266DE"/>
    <w:rsid w:val="009300B9"/>
    <w:rsid w:val="0093125F"/>
    <w:rsid w:val="009313ED"/>
    <w:rsid w:val="00931480"/>
    <w:rsid w:val="0093195E"/>
    <w:rsid w:val="009323D9"/>
    <w:rsid w:val="009333F9"/>
    <w:rsid w:val="00933C56"/>
    <w:rsid w:val="00933EAD"/>
    <w:rsid w:val="00934B5C"/>
    <w:rsid w:val="00934C53"/>
    <w:rsid w:val="00935605"/>
    <w:rsid w:val="0093649A"/>
    <w:rsid w:val="009366BF"/>
    <w:rsid w:val="00936B18"/>
    <w:rsid w:val="00937F43"/>
    <w:rsid w:val="00937FB6"/>
    <w:rsid w:val="00940329"/>
    <w:rsid w:val="00940BFB"/>
    <w:rsid w:val="0094156B"/>
    <w:rsid w:val="00941613"/>
    <w:rsid w:val="0094191D"/>
    <w:rsid w:val="009419FF"/>
    <w:rsid w:val="009421B1"/>
    <w:rsid w:val="00942700"/>
    <w:rsid w:val="0094278E"/>
    <w:rsid w:val="0094313B"/>
    <w:rsid w:val="00943544"/>
    <w:rsid w:val="009435E4"/>
    <w:rsid w:val="009437AC"/>
    <w:rsid w:val="009442C0"/>
    <w:rsid w:val="00944414"/>
    <w:rsid w:val="00945E8D"/>
    <w:rsid w:val="00945EF9"/>
    <w:rsid w:val="009460E7"/>
    <w:rsid w:val="009463F1"/>
    <w:rsid w:val="00946E49"/>
    <w:rsid w:val="00946F06"/>
    <w:rsid w:val="0094781E"/>
    <w:rsid w:val="009503A5"/>
    <w:rsid w:val="00950666"/>
    <w:rsid w:val="009518C1"/>
    <w:rsid w:val="00952DD1"/>
    <w:rsid w:val="00953085"/>
    <w:rsid w:val="00953550"/>
    <w:rsid w:val="00953579"/>
    <w:rsid w:val="00953610"/>
    <w:rsid w:val="0095390D"/>
    <w:rsid w:val="00953931"/>
    <w:rsid w:val="0095394D"/>
    <w:rsid w:val="00954629"/>
    <w:rsid w:val="009548EA"/>
    <w:rsid w:val="00954A97"/>
    <w:rsid w:val="00954B15"/>
    <w:rsid w:val="009552A7"/>
    <w:rsid w:val="009556AD"/>
    <w:rsid w:val="00955741"/>
    <w:rsid w:val="009560B5"/>
    <w:rsid w:val="0095645E"/>
    <w:rsid w:val="0095651D"/>
    <w:rsid w:val="00956AFE"/>
    <w:rsid w:val="00957BFE"/>
    <w:rsid w:val="009603DB"/>
    <w:rsid w:val="00960D9A"/>
    <w:rsid w:val="00960E63"/>
    <w:rsid w:val="00960F11"/>
    <w:rsid w:val="009617F0"/>
    <w:rsid w:val="00961820"/>
    <w:rsid w:val="00961FD3"/>
    <w:rsid w:val="00963C99"/>
    <w:rsid w:val="0096426B"/>
    <w:rsid w:val="009649CF"/>
    <w:rsid w:val="00964CEE"/>
    <w:rsid w:val="00964DE4"/>
    <w:rsid w:val="009651BD"/>
    <w:rsid w:val="00965D71"/>
    <w:rsid w:val="00966375"/>
    <w:rsid w:val="00966F15"/>
    <w:rsid w:val="009670F0"/>
    <w:rsid w:val="009674E0"/>
    <w:rsid w:val="00967F4D"/>
    <w:rsid w:val="00970503"/>
    <w:rsid w:val="00971DFE"/>
    <w:rsid w:val="009726EC"/>
    <w:rsid w:val="00972AD4"/>
    <w:rsid w:val="00972BF0"/>
    <w:rsid w:val="00973B00"/>
    <w:rsid w:val="00973B97"/>
    <w:rsid w:val="00973F4F"/>
    <w:rsid w:val="00974B96"/>
    <w:rsid w:val="00974DE2"/>
    <w:rsid w:val="00975093"/>
    <w:rsid w:val="0097605C"/>
    <w:rsid w:val="00977935"/>
    <w:rsid w:val="009800FC"/>
    <w:rsid w:val="009806AE"/>
    <w:rsid w:val="00980F95"/>
    <w:rsid w:val="0098206F"/>
    <w:rsid w:val="00982470"/>
    <w:rsid w:val="00982BCF"/>
    <w:rsid w:val="009836AF"/>
    <w:rsid w:val="0098402F"/>
    <w:rsid w:val="00984612"/>
    <w:rsid w:val="00984B24"/>
    <w:rsid w:val="00984DCC"/>
    <w:rsid w:val="0098513C"/>
    <w:rsid w:val="0098554F"/>
    <w:rsid w:val="009859A9"/>
    <w:rsid w:val="00985A65"/>
    <w:rsid w:val="009862F7"/>
    <w:rsid w:val="00987082"/>
    <w:rsid w:val="0098743C"/>
    <w:rsid w:val="00987C30"/>
    <w:rsid w:val="00987EFD"/>
    <w:rsid w:val="00990E34"/>
    <w:rsid w:val="009916BA"/>
    <w:rsid w:val="00991BFF"/>
    <w:rsid w:val="00992910"/>
    <w:rsid w:val="0099322F"/>
    <w:rsid w:val="009939CC"/>
    <w:rsid w:val="00993E40"/>
    <w:rsid w:val="00993E4A"/>
    <w:rsid w:val="00994C25"/>
    <w:rsid w:val="00994E8C"/>
    <w:rsid w:val="00995514"/>
    <w:rsid w:val="009955A5"/>
    <w:rsid w:val="009959E7"/>
    <w:rsid w:val="00995DBA"/>
    <w:rsid w:val="0099619E"/>
    <w:rsid w:val="00996310"/>
    <w:rsid w:val="009972BB"/>
    <w:rsid w:val="009A040A"/>
    <w:rsid w:val="009A1C72"/>
    <w:rsid w:val="009A2F0C"/>
    <w:rsid w:val="009A2FE2"/>
    <w:rsid w:val="009A322C"/>
    <w:rsid w:val="009A355A"/>
    <w:rsid w:val="009A380E"/>
    <w:rsid w:val="009A3C3E"/>
    <w:rsid w:val="009A428E"/>
    <w:rsid w:val="009A4D8A"/>
    <w:rsid w:val="009A5BFA"/>
    <w:rsid w:val="009A5C31"/>
    <w:rsid w:val="009A6B5B"/>
    <w:rsid w:val="009B0045"/>
    <w:rsid w:val="009B0BED"/>
    <w:rsid w:val="009B0E5C"/>
    <w:rsid w:val="009B1184"/>
    <w:rsid w:val="009B11D1"/>
    <w:rsid w:val="009B1D50"/>
    <w:rsid w:val="009B2655"/>
    <w:rsid w:val="009B311F"/>
    <w:rsid w:val="009B32D7"/>
    <w:rsid w:val="009B4264"/>
    <w:rsid w:val="009B44D5"/>
    <w:rsid w:val="009B54F0"/>
    <w:rsid w:val="009B5CA8"/>
    <w:rsid w:val="009B5FA2"/>
    <w:rsid w:val="009B6BD5"/>
    <w:rsid w:val="009B72D4"/>
    <w:rsid w:val="009B73C4"/>
    <w:rsid w:val="009B7917"/>
    <w:rsid w:val="009C15DD"/>
    <w:rsid w:val="009C1EB6"/>
    <w:rsid w:val="009C20E0"/>
    <w:rsid w:val="009C2364"/>
    <w:rsid w:val="009C2B0A"/>
    <w:rsid w:val="009C2D50"/>
    <w:rsid w:val="009C322E"/>
    <w:rsid w:val="009C3355"/>
    <w:rsid w:val="009C34D7"/>
    <w:rsid w:val="009C3669"/>
    <w:rsid w:val="009C38AB"/>
    <w:rsid w:val="009C3E62"/>
    <w:rsid w:val="009C4E59"/>
    <w:rsid w:val="009C54ED"/>
    <w:rsid w:val="009C554E"/>
    <w:rsid w:val="009C60D7"/>
    <w:rsid w:val="009C645E"/>
    <w:rsid w:val="009C686D"/>
    <w:rsid w:val="009C6949"/>
    <w:rsid w:val="009C7195"/>
    <w:rsid w:val="009C72F2"/>
    <w:rsid w:val="009C7328"/>
    <w:rsid w:val="009D00B2"/>
    <w:rsid w:val="009D15AF"/>
    <w:rsid w:val="009D17E1"/>
    <w:rsid w:val="009D2090"/>
    <w:rsid w:val="009D2341"/>
    <w:rsid w:val="009D25DD"/>
    <w:rsid w:val="009D350D"/>
    <w:rsid w:val="009D38B2"/>
    <w:rsid w:val="009D3C36"/>
    <w:rsid w:val="009D3DA1"/>
    <w:rsid w:val="009D4307"/>
    <w:rsid w:val="009D4473"/>
    <w:rsid w:val="009D4BE5"/>
    <w:rsid w:val="009D4CE4"/>
    <w:rsid w:val="009D4D0D"/>
    <w:rsid w:val="009D4EAB"/>
    <w:rsid w:val="009D5C55"/>
    <w:rsid w:val="009D6BC6"/>
    <w:rsid w:val="009D70E5"/>
    <w:rsid w:val="009E04F8"/>
    <w:rsid w:val="009E0886"/>
    <w:rsid w:val="009E1445"/>
    <w:rsid w:val="009E1BDD"/>
    <w:rsid w:val="009E1EC0"/>
    <w:rsid w:val="009E2FB4"/>
    <w:rsid w:val="009E3482"/>
    <w:rsid w:val="009E351E"/>
    <w:rsid w:val="009E4060"/>
    <w:rsid w:val="009E6AA5"/>
    <w:rsid w:val="009E6AF8"/>
    <w:rsid w:val="009E6C56"/>
    <w:rsid w:val="009E7DB2"/>
    <w:rsid w:val="009F1221"/>
    <w:rsid w:val="009F12D6"/>
    <w:rsid w:val="009F1A84"/>
    <w:rsid w:val="009F1CC8"/>
    <w:rsid w:val="009F309A"/>
    <w:rsid w:val="009F362A"/>
    <w:rsid w:val="009F4405"/>
    <w:rsid w:val="009F4492"/>
    <w:rsid w:val="009F495A"/>
    <w:rsid w:val="009F4C09"/>
    <w:rsid w:val="009F4ECC"/>
    <w:rsid w:val="009F5390"/>
    <w:rsid w:val="009F54DC"/>
    <w:rsid w:val="009F5735"/>
    <w:rsid w:val="009F6F1A"/>
    <w:rsid w:val="009F7016"/>
    <w:rsid w:val="00A001B5"/>
    <w:rsid w:val="00A00F9E"/>
    <w:rsid w:val="00A01AF6"/>
    <w:rsid w:val="00A01E12"/>
    <w:rsid w:val="00A02A5B"/>
    <w:rsid w:val="00A02CB2"/>
    <w:rsid w:val="00A038B4"/>
    <w:rsid w:val="00A03955"/>
    <w:rsid w:val="00A03F6A"/>
    <w:rsid w:val="00A04480"/>
    <w:rsid w:val="00A04A1E"/>
    <w:rsid w:val="00A04E7A"/>
    <w:rsid w:val="00A052F6"/>
    <w:rsid w:val="00A054CE"/>
    <w:rsid w:val="00A0603F"/>
    <w:rsid w:val="00A0608C"/>
    <w:rsid w:val="00A06DF9"/>
    <w:rsid w:val="00A107EB"/>
    <w:rsid w:val="00A111F7"/>
    <w:rsid w:val="00A13A31"/>
    <w:rsid w:val="00A13A78"/>
    <w:rsid w:val="00A13E09"/>
    <w:rsid w:val="00A147DF"/>
    <w:rsid w:val="00A15080"/>
    <w:rsid w:val="00A15537"/>
    <w:rsid w:val="00A15DF8"/>
    <w:rsid w:val="00A16207"/>
    <w:rsid w:val="00A16C42"/>
    <w:rsid w:val="00A16DA2"/>
    <w:rsid w:val="00A17633"/>
    <w:rsid w:val="00A17D6F"/>
    <w:rsid w:val="00A20765"/>
    <w:rsid w:val="00A20B2F"/>
    <w:rsid w:val="00A20B47"/>
    <w:rsid w:val="00A21104"/>
    <w:rsid w:val="00A214FD"/>
    <w:rsid w:val="00A21B75"/>
    <w:rsid w:val="00A22818"/>
    <w:rsid w:val="00A22960"/>
    <w:rsid w:val="00A234B2"/>
    <w:rsid w:val="00A234FD"/>
    <w:rsid w:val="00A240EC"/>
    <w:rsid w:val="00A24B1C"/>
    <w:rsid w:val="00A24C23"/>
    <w:rsid w:val="00A25733"/>
    <w:rsid w:val="00A274CC"/>
    <w:rsid w:val="00A31655"/>
    <w:rsid w:val="00A31835"/>
    <w:rsid w:val="00A31BB8"/>
    <w:rsid w:val="00A321E0"/>
    <w:rsid w:val="00A32679"/>
    <w:rsid w:val="00A3271F"/>
    <w:rsid w:val="00A32DDC"/>
    <w:rsid w:val="00A33045"/>
    <w:rsid w:val="00A3478A"/>
    <w:rsid w:val="00A347A3"/>
    <w:rsid w:val="00A34B75"/>
    <w:rsid w:val="00A34D82"/>
    <w:rsid w:val="00A350A1"/>
    <w:rsid w:val="00A35BE2"/>
    <w:rsid w:val="00A36958"/>
    <w:rsid w:val="00A37383"/>
    <w:rsid w:val="00A375D6"/>
    <w:rsid w:val="00A40E5F"/>
    <w:rsid w:val="00A4194A"/>
    <w:rsid w:val="00A41DAE"/>
    <w:rsid w:val="00A428B4"/>
    <w:rsid w:val="00A42D7E"/>
    <w:rsid w:val="00A43421"/>
    <w:rsid w:val="00A4404A"/>
    <w:rsid w:val="00A450D5"/>
    <w:rsid w:val="00A453A1"/>
    <w:rsid w:val="00A46393"/>
    <w:rsid w:val="00A46B4B"/>
    <w:rsid w:val="00A47275"/>
    <w:rsid w:val="00A47ACC"/>
    <w:rsid w:val="00A47E62"/>
    <w:rsid w:val="00A504E9"/>
    <w:rsid w:val="00A518FD"/>
    <w:rsid w:val="00A51BEF"/>
    <w:rsid w:val="00A52284"/>
    <w:rsid w:val="00A52867"/>
    <w:rsid w:val="00A536B8"/>
    <w:rsid w:val="00A541DD"/>
    <w:rsid w:val="00A54590"/>
    <w:rsid w:val="00A54811"/>
    <w:rsid w:val="00A54D98"/>
    <w:rsid w:val="00A54F1B"/>
    <w:rsid w:val="00A55277"/>
    <w:rsid w:val="00A55E4E"/>
    <w:rsid w:val="00A560D3"/>
    <w:rsid w:val="00A56840"/>
    <w:rsid w:val="00A56D67"/>
    <w:rsid w:val="00A57093"/>
    <w:rsid w:val="00A60E36"/>
    <w:rsid w:val="00A6180A"/>
    <w:rsid w:val="00A61846"/>
    <w:rsid w:val="00A618CE"/>
    <w:rsid w:val="00A621F7"/>
    <w:rsid w:val="00A622BA"/>
    <w:rsid w:val="00A63B90"/>
    <w:rsid w:val="00A645D0"/>
    <w:rsid w:val="00A645D3"/>
    <w:rsid w:val="00A64813"/>
    <w:rsid w:val="00A6586F"/>
    <w:rsid w:val="00A66C08"/>
    <w:rsid w:val="00A673D2"/>
    <w:rsid w:val="00A675CE"/>
    <w:rsid w:val="00A67642"/>
    <w:rsid w:val="00A7053E"/>
    <w:rsid w:val="00A706AE"/>
    <w:rsid w:val="00A70B36"/>
    <w:rsid w:val="00A7171B"/>
    <w:rsid w:val="00A71991"/>
    <w:rsid w:val="00A723E0"/>
    <w:rsid w:val="00A72C2C"/>
    <w:rsid w:val="00A732CF"/>
    <w:rsid w:val="00A73BDD"/>
    <w:rsid w:val="00A73D83"/>
    <w:rsid w:val="00A7548B"/>
    <w:rsid w:val="00A75A0D"/>
    <w:rsid w:val="00A80A9B"/>
    <w:rsid w:val="00A8109B"/>
    <w:rsid w:val="00A81B12"/>
    <w:rsid w:val="00A82497"/>
    <w:rsid w:val="00A82616"/>
    <w:rsid w:val="00A826AE"/>
    <w:rsid w:val="00A83BD0"/>
    <w:rsid w:val="00A83D66"/>
    <w:rsid w:val="00A85217"/>
    <w:rsid w:val="00A855B0"/>
    <w:rsid w:val="00A85B15"/>
    <w:rsid w:val="00A8727A"/>
    <w:rsid w:val="00A87747"/>
    <w:rsid w:val="00A87CC8"/>
    <w:rsid w:val="00A90E3D"/>
    <w:rsid w:val="00A90E88"/>
    <w:rsid w:val="00A91979"/>
    <w:rsid w:val="00A94931"/>
    <w:rsid w:val="00A94FFB"/>
    <w:rsid w:val="00A957F7"/>
    <w:rsid w:val="00A9582B"/>
    <w:rsid w:val="00A96911"/>
    <w:rsid w:val="00A97840"/>
    <w:rsid w:val="00A97C8D"/>
    <w:rsid w:val="00AA0107"/>
    <w:rsid w:val="00AA01B5"/>
    <w:rsid w:val="00AA0D9B"/>
    <w:rsid w:val="00AA1283"/>
    <w:rsid w:val="00AA151C"/>
    <w:rsid w:val="00AA16F2"/>
    <w:rsid w:val="00AA21D0"/>
    <w:rsid w:val="00AA2CE6"/>
    <w:rsid w:val="00AA3F52"/>
    <w:rsid w:val="00AA3F80"/>
    <w:rsid w:val="00AA4973"/>
    <w:rsid w:val="00AA4A45"/>
    <w:rsid w:val="00AA4EED"/>
    <w:rsid w:val="00AA55C2"/>
    <w:rsid w:val="00AA5D8A"/>
    <w:rsid w:val="00AA6EA5"/>
    <w:rsid w:val="00AA73DC"/>
    <w:rsid w:val="00AA7411"/>
    <w:rsid w:val="00AA797A"/>
    <w:rsid w:val="00AA7E7C"/>
    <w:rsid w:val="00AB1CD5"/>
    <w:rsid w:val="00AB3471"/>
    <w:rsid w:val="00AB3D91"/>
    <w:rsid w:val="00AB3EF0"/>
    <w:rsid w:val="00AB4763"/>
    <w:rsid w:val="00AB48E3"/>
    <w:rsid w:val="00AB4AE3"/>
    <w:rsid w:val="00AB4F9B"/>
    <w:rsid w:val="00AB51F9"/>
    <w:rsid w:val="00AB5440"/>
    <w:rsid w:val="00AB58AE"/>
    <w:rsid w:val="00AB59C3"/>
    <w:rsid w:val="00AB6CDC"/>
    <w:rsid w:val="00AB7467"/>
    <w:rsid w:val="00AC02C2"/>
    <w:rsid w:val="00AC0434"/>
    <w:rsid w:val="00AC1FBD"/>
    <w:rsid w:val="00AC507D"/>
    <w:rsid w:val="00AC5722"/>
    <w:rsid w:val="00AC5EA7"/>
    <w:rsid w:val="00AC5EF9"/>
    <w:rsid w:val="00AC741C"/>
    <w:rsid w:val="00AC7522"/>
    <w:rsid w:val="00AC78B1"/>
    <w:rsid w:val="00AC7B58"/>
    <w:rsid w:val="00AD0117"/>
    <w:rsid w:val="00AD02B9"/>
    <w:rsid w:val="00AD061E"/>
    <w:rsid w:val="00AD0678"/>
    <w:rsid w:val="00AD092D"/>
    <w:rsid w:val="00AD24A3"/>
    <w:rsid w:val="00AD2527"/>
    <w:rsid w:val="00AD2649"/>
    <w:rsid w:val="00AD26B8"/>
    <w:rsid w:val="00AD2711"/>
    <w:rsid w:val="00AD2990"/>
    <w:rsid w:val="00AD42AD"/>
    <w:rsid w:val="00AD4D21"/>
    <w:rsid w:val="00AD52DC"/>
    <w:rsid w:val="00AD550B"/>
    <w:rsid w:val="00AD56C1"/>
    <w:rsid w:val="00AD570D"/>
    <w:rsid w:val="00AD59AD"/>
    <w:rsid w:val="00AD5D2E"/>
    <w:rsid w:val="00AD5DCF"/>
    <w:rsid w:val="00AD5F60"/>
    <w:rsid w:val="00AD61F0"/>
    <w:rsid w:val="00AD6667"/>
    <w:rsid w:val="00AD6AFA"/>
    <w:rsid w:val="00AD6E6C"/>
    <w:rsid w:val="00AD7F28"/>
    <w:rsid w:val="00AE0630"/>
    <w:rsid w:val="00AE0BDB"/>
    <w:rsid w:val="00AE0F63"/>
    <w:rsid w:val="00AE1A08"/>
    <w:rsid w:val="00AE3AB0"/>
    <w:rsid w:val="00AE4286"/>
    <w:rsid w:val="00AE484E"/>
    <w:rsid w:val="00AE4EA5"/>
    <w:rsid w:val="00AE53CD"/>
    <w:rsid w:val="00AE58D4"/>
    <w:rsid w:val="00AE6152"/>
    <w:rsid w:val="00AE6A39"/>
    <w:rsid w:val="00AE6F08"/>
    <w:rsid w:val="00AE737B"/>
    <w:rsid w:val="00AF0581"/>
    <w:rsid w:val="00AF0CA8"/>
    <w:rsid w:val="00AF0EFA"/>
    <w:rsid w:val="00AF281C"/>
    <w:rsid w:val="00AF3001"/>
    <w:rsid w:val="00AF31B9"/>
    <w:rsid w:val="00AF3680"/>
    <w:rsid w:val="00AF3CE2"/>
    <w:rsid w:val="00AF4A2F"/>
    <w:rsid w:val="00AF4CC7"/>
    <w:rsid w:val="00AF4CD3"/>
    <w:rsid w:val="00AF5037"/>
    <w:rsid w:val="00AF5285"/>
    <w:rsid w:val="00AF6413"/>
    <w:rsid w:val="00AF67D7"/>
    <w:rsid w:val="00AF6CCF"/>
    <w:rsid w:val="00AF6F88"/>
    <w:rsid w:val="00AF702B"/>
    <w:rsid w:val="00AF70C2"/>
    <w:rsid w:val="00AF7F23"/>
    <w:rsid w:val="00B005FA"/>
    <w:rsid w:val="00B02839"/>
    <w:rsid w:val="00B03E42"/>
    <w:rsid w:val="00B0457D"/>
    <w:rsid w:val="00B048BB"/>
    <w:rsid w:val="00B06794"/>
    <w:rsid w:val="00B06E12"/>
    <w:rsid w:val="00B07A5D"/>
    <w:rsid w:val="00B07C4D"/>
    <w:rsid w:val="00B117F4"/>
    <w:rsid w:val="00B12693"/>
    <w:rsid w:val="00B126E7"/>
    <w:rsid w:val="00B12D19"/>
    <w:rsid w:val="00B12D7C"/>
    <w:rsid w:val="00B14A8E"/>
    <w:rsid w:val="00B14D75"/>
    <w:rsid w:val="00B14E28"/>
    <w:rsid w:val="00B14F65"/>
    <w:rsid w:val="00B15F79"/>
    <w:rsid w:val="00B1601F"/>
    <w:rsid w:val="00B1629C"/>
    <w:rsid w:val="00B16493"/>
    <w:rsid w:val="00B171A5"/>
    <w:rsid w:val="00B17ED3"/>
    <w:rsid w:val="00B20249"/>
    <w:rsid w:val="00B208BA"/>
    <w:rsid w:val="00B20C35"/>
    <w:rsid w:val="00B20FDF"/>
    <w:rsid w:val="00B21280"/>
    <w:rsid w:val="00B21486"/>
    <w:rsid w:val="00B217CC"/>
    <w:rsid w:val="00B218D8"/>
    <w:rsid w:val="00B224F9"/>
    <w:rsid w:val="00B226D5"/>
    <w:rsid w:val="00B244C3"/>
    <w:rsid w:val="00B24DF1"/>
    <w:rsid w:val="00B273F2"/>
    <w:rsid w:val="00B302CB"/>
    <w:rsid w:val="00B308B4"/>
    <w:rsid w:val="00B30AD3"/>
    <w:rsid w:val="00B3192C"/>
    <w:rsid w:val="00B31D2D"/>
    <w:rsid w:val="00B31DC3"/>
    <w:rsid w:val="00B32FA5"/>
    <w:rsid w:val="00B33146"/>
    <w:rsid w:val="00B33AE2"/>
    <w:rsid w:val="00B33CB5"/>
    <w:rsid w:val="00B3478C"/>
    <w:rsid w:val="00B352D2"/>
    <w:rsid w:val="00B37046"/>
    <w:rsid w:val="00B37A39"/>
    <w:rsid w:val="00B4090F"/>
    <w:rsid w:val="00B40BBC"/>
    <w:rsid w:val="00B40C08"/>
    <w:rsid w:val="00B4170B"/>
    <w:rsid w:val="00B4190F"/>
    <w:rsid w:val="00B431EA"/>
    <w:rsid w:val="00B43E87"/>
    <w:rsid w:val="00B43F76"/>
    <w:rsid w:val="00B43FBB"/>
    <w:rsid w:val="00B45620"/>
    <w:rsid w:val="00B4608C"/>
    <w:rsid w:val="00B46B29"/>
    <w:rsid w:val="00B46C23"/>
    <w:rsid w:val="00B4768B"/>
    <w:rsid w:val="00B47B1A"/>
    <w:rsid w:val="00B500AF"/>
    <w:rsid w:val="00B505F2"/>
    <w:rsid w:val="00B51228"/>
    <w:rsid w:val="00B5139A"/>
    <w:rsid w:val="00B51BC6"/>
    <w:rsid w:val="00B51C0C"/>
    <w:rsid w:val="00B52416"/>
    <w:rsid w:val="00B537BC"/>
    <w:rsid w:val="00B5474B"/>
    <w:rsid w:val="00B55AB0"/>
    <w:rsid w:val="00B55EE6"/>
    <w:rsid w:val="00B56AA4"/>
    <w:rsid w:val="00B56C6D"/>
    <w:rsid w:val="00B56E91"/>
    <w:rsid w:val="00B56F1F"/>
    <w:rsid w:val="00B57417"/>
    <w:rsid w:val="00B57773"/>
    <w:rsid w:val="00B62340"/>
    <w:rsid w:val="00B63155"/>
    <w:rsid w:val="00B63355"/>
    <w:rsid w:val="00B63421"/>
    <w:rsid w:val="00B63F95"/>
    <w:rsid w:val="00B650EB"/>
    <w:rsid w:val="00B659F4"/>
    <w:rsid w:val="00B6614F"/>
    <w:rsid w:val="00B672FB"/>
    <w:rsid w:val="00B67371"/>
    <w:rsid w:val="00B6746A"/>
    <w:rsid w:val="00B676C3"/>
    <w:rsid w:val="00B67DE5"/>
    <w:rsid w:val="00B7000B"/>
    <w:rsid w:val="00B701FC"/>
    <w:rsid w:val="00B70AF7"/>
    <w:rsid w:val="00B71115"/>
    <w:rsid w:val="00B7141D"/>
    <w:rsid w:val="00B7225B"/>
    <w:rsid w:val="00B73AA4"/>
    <w:rsid w:val="00B74B1F"/>
    <w:rsid w:val="00B75CDF"/>
    <w:rsid w:val="00B76801"/>
    <w:rsid w:val="00B7697E"/>
    <w:rsid w:val="00B76EB7"/>
    <w:rsid w:val="00B777F0"/>
    <w:rsid w:val="00B80A8F"/>
    <w:rsid w:val="00B8156F"/>
    <w:rsid w:val="00B8273A"/>
    <w:rsid w:val="00B83B01"/>
    <w:rsid w:val="00B86F54"/>
    <w:rsid w:val="00B874EA"/>
    <w:rsid w:val="00B87CDD"/>
    <w:rsid w:val="00B90058"/>
    <w:rsid w:val="00B90129"/>
    <w:rsid w:val="00B928D6"/>
    <w:rsid w:val="00B94276"/>
    <w:rsid w:val="00B94E54"/>
    <w:rsid w:val="00B94EC7"/>
    <w:rsid w:val="00B95F5A"/>
    <w:rsid w:val="00B96186"/>
    <w:rsid w:val="00B966CB"/>
    <w:rsid w:val="00B9759B"/>
    <w:rsid w:val="00B9763B"/>
    <w:rsid w:val="00B97A20"/>
    <w:rsid w:val="00B97B4C"/>
    <w:rsid w:val="00BA0F7C"/>
    <w:rsid w:val="00BA21B0"/>
    <w:rsid w:val="00BA232A"/>
    <w:rsid w:val="00BA3872"/>
    <w:rsid w:val="00BA3F04"/>
    <w:rsid w:val="00BA4F9E"/>
    <w:rsid w:val="00BA5282"/>
    <w:rsid w:val="00BA52AA"/>
    <w:rsid w:val="00BA5463"/>
    <w:rsid w:val="00BA5F2D"/>
    <w:rsid w:val="00BA665E"/>
    <w:rsid w:val="00BA67D1"/>
    <w:rsid w:val="00BB01C7"/>
    <w:rsid w:val="00BB094F"/>
    <w:rsid w:val="00BB0FC7"/>
    <w:rsid w:val="00BB0FF1"/>
    <w:rsid w:val="00BB15CA"/>
    <w:rsid w:val="00BB1A22"/>
    <w:rsid w:val="00BB1C3A"/>
    <w:rsid w:val="00BB332D"/>
    <w:rsid w:val="00BB3527"/>
    <w:rsid w:val="00BB3EA3"/>
    <w:rsid w:val="00BB4A22"/>
    <w:rsid w:val="00BB4AFB"/>
    <w:rsid w:val="00BB5702"/>
    <w:rsid w:val="00BB66F4"/>
    <w:rsid w:val="00BB6994"/>
    <w:rsid w:val="00BC0103"/>
    <w:rsid w:val="00BC037B"/>
    <w:rsid w:val="00BC04C7"/>
    <w:rsid w:val="00BC0C90"/>
    <w:rsid w:val="00BC0F46"/>
    <w:rsid w:val="00BC0F6E"/>
    <w:rsid w:val="00BC133E"/>
    <w:rsid w:val="00BC1888"/>
    <w:rsid w:val="00BC1BBC"/>
    <w:rsid w:val="00BC20B0"/>
    <w:rsid w:val="00BC2666"/>
    <w:rsid w:val="00BC26FE"/>
    <w:rsid w:val="00BC4040"/>
    <w:rsid w:val="00BC4A1C"/>
    <w:rsid w:val="00BC4AD8"/>
    <w:rsid w:val="00BC4E77"/>
    <w:rsid w:val="00BC6529"/>
    <w:rsid w:val="00BC6AC3"/>
    <w:rsid w:val="00BC7094"/>
    <w:rsid w:val="00BD06C4"/>
    <w:rsid w:val="00BD1C47"/>
    <w:rsid w:val="00BD2737"/>
    <w:rsid w:val="00BD28AC"/>
    <w:rsid w:val="00BD2B6B"/>
    <w:rsid w:val="00BD35D3"/>
    <w:rsid w:val="00BD3A72"/>
    <w:rsid w:val="00BD3B8E"/>
    <w:rsid w:val="00BD3E07"/>
    <w:rsid w:val="00BD4E3C"/>
    <w:rsid w:val="00BD4F5B"/>
    <w:rsid w:val="00BD50CB"/>
    <w:rsid w:val="00BD5C83"/>
    <w:rsid w:val="00BD6BD1"/>
    <w:rsid w:val="00BD7AFA"/>
    <w:rsid w:val="00BE005F"/>
    <w:rsid w:val="00BE0578"/>
    <w:rsid w:val="00BE097F"/>
    <w:rsid w:val="00BE0C44"/>
    <w:rsid w:val="00BE10A9"/>
    <w:rsid w:val="00BE10F2"/>
    <w:rsid w:val="00BE12FB"/>
    <w:rsid w:val="00BE1926"/>
    <w:rsid w:val="00BE1BC7"/>
    <w:rsid w:val="00BE1C42"/>
    <w:rsid w:val="00BE22E1"/>
    <w:rsid w:val="00BE230A"/>
    <w:rsid w:val="00BE2349"/>
    <w:rsid w:val="00BE2837"/>
    <w:rsid w:val="00BE40DC"/>
    <w:rsid w:val="00BE42D9"/>
    <w:rsid w:val="00BE4421"/>
    <w:rsid w:val="00BE47B6"/>
    <w:rsid w:val="00BE5C6A"/>
    <w:rsid w:val="00BE5E69"/>
    <w:rsid w:val="00BE65ED"/>
    <w:rsid w:val="00BE66C7"/>
    <w:rsid w:val="00BE6D26"/>
    <w:rsid w:val="00BF0355"/>
    <w:rsid w:val="00BF0405"/>
    <w:rsid w:val="00BF0BBA"/>
    <w:rsid w:val="00BF122E"/>
    <w:rsid w:val="00BF17F2"/>
    <w:rsid w:val="00BF1B81"/>
    <w:rsid w:val="00BF2026"/>
    <w:rsid w:val="00BF2561"/>
    <w:rsid w:val="00BF28AA"/>
    <w:rsid w:val="00BF2E7D"/>
    <w:rsid w:val="00BF362A"/>
    <w:rsid w:val="00BF4FC9"/>
    <w:rsid w:val="00BF531A"/>
    <w:rsid w:val="00BF59B9"/>
    <w:rsid w:val="00BF5B30"/>
    <w:rsid w:val="00BF5BF1"/>
    <w:rsid w:val="00BF5D52"/>
    <w:rsid w:val="00BF5ED2"/>
    <w:rsid w:val="00BF604C"/>
    <w:rsid w:val="00BF61DD"/>
    <w:rsid w:val="00BF694F"/>
    <w:rsid w:val="00BF7F91"/>
    <w:rsid w:val="00C00605"/>
    <w:rsid w:val="00C007A7"/>
    <w:rsid w:val="00C0081B"/>
    <w:rsid w:val="00C013D6"/>
    <w:rsid w:val="00C01EEA"/>
    <w:rsid w:val="00C02DC5"/>
    <w:rsid w:val="00C05113"/>
    <w:rsid w:val="00C05BDB"/>
    <w:rsid w:val="00C05EC1"/>
    <w:rsid w:val="00C05EC8"/>
    <w:rsid w:val="00C0663F"/>
    <w:rsid w:val="00C07F90"/>
    <w:rsid w:val="00C106C0"/>
    <w:rsid w:val="00C110A0"/>
    <w:rsid w:val="00C1139B"/>
    <w:rsid w:val="00C11B83"/>
    <w:rsid w:val="00C122C0"/>
    <w:rsid w:val="00C127BE"/>
    <w:rsid w:val="00C12FE4"/>
    <w:rsid w:val="00C1332C"/>
    <w:rsid w:val="00C13DB6"/>
    <w:rsid w:val="00C1506C"/>
    <w:rsid w:val="00C158A0"/>
    <w:rsid w:val="00C16CD5"/>
    <w:rsid w:val="00C175B7"/>
    <w:rsid w:val="00C17B17"/>
    <w:rsid w:val="00C202CE"/>
    <w:rsid w:val="00C21093"/>
    <w:rsid w:val="00C22FB9"/>
    <w:rsid w:val="00C23671"/>
    <w:rsid w:val="00C23766"/>
    <w:rsid w:val="00C23B8F"/>
    <w:rsid w:val="00C24B24"/>
    <w:rsid w:val="00C24D56"/>
    <w:rsid w:val="00C26963"/>
    <w:rsid w:val="00C2728E"/>
    <w:rsid w:val="00C3017D"/>
    <w:rsid w:val="00C31956"/>
    <w:rsid w:val="00C319F9"/>
    <w:rsid w:val="00C3342E"/>
    <w:rsid w:val="00C34426"/>
    <w:rsid w:val="00C345D1"/>
    <w:rsid w:val="00C34B26"/>
    <w:rsid w:val="00C35345"/>
    <w:rsid w:val="00C3617B"/>
    <w:rsid w:val="00C3648D"/>
    <w:rsid w:val="00C36AA1"/>
    <w:rsid w:val="00C36AAE"/>
    <w:rsid w:val="00C4136B"/>
    <w:rsid w:val="00C4138F"/>
    <w:rsid w:val="00C4194C"/>
    <w:rsid w:val="00C41B65"/>
    <w:rsid w:val="00C42411"/>
    <w:rsid w:val="00C43424"/>
    <w:rsid w:val="00C439EC"/>
    <w:rsid w:val="00C4494E"/>
    <w:rsid w:val="00C44B90"/>
    <w:rsid w:val="00C44BA4"/>
    <w:rsid w:val="00C4561B"/>
    <w:rsid w:val="00C458DC"/>
    <w:rsid w:val="00C46855"/>
    <w:rsid w:val="00C46DE6"/>
    <w:rsid w:val="00C46F51"/>
    <w:rsid w:val="00C5025A"/>
    <w:rsid w:val="00C51862"/>
    <w:rsid w:val="00C52CCE"/>
    <w:rsid w:val="00C53EA8"/>
    <w:rsid w:val="00C54A18"/>
    <w:rsid w:val="00C54E71"/>
    <w:rsid w:val="00C54F0D"/>
    <w:rsid w:val="00C557C7"/>
    <w:rsid w:val="00C56324"/>
    <w:rsid w:val="00C57B0D"/>
    <w:rsid w:val="00C57CB1"/>
    <w:rsid w:val="00C57F95"/>
    <w:rsid w:val="00C60264"/>
    <w:rsid w:val="00C60B7D"/>
    <w:rsid w:val="00C61894"/>
    <w:rsid w:val="00C61901"/>
    <w:rsid w:val="00C61E90"/>
    <w:rsid w:val="00C623BE"/>
    <w:rsid w:val="00C63A86"/>
    <w:rsid w:val="00C63F7B"/>
    <w:rsid w:val="00C64208"/>
    <w:rsid w:val="00C65DBB"/>
    <w:rsid w:val="00C66456"/>
    <w:rsid w:val="00C6691D"/>
    <w:rsid w:val="00C66AAB"/>
    <w:rsid w:val="00C66CAA"/>
    <w:rsid w:val="00C7040A"/>
    <w:rsid w:val="00C70743"/>
    <w:rsid w:val="00C70AD4"/>
    <w:rsid w:val="00C70F79"/>
    <w:rsid w:val="00C73BC1"/>
    <w:rsid w:val="00C75C3D"/>
    <w:rsid w:val="00C75CBD"/>
    <w:rsid w:val="00C75DAA"/>
    <w:rsid w:val="00C767B8"/>
    <w:rsid w:val="00C76914"/>
    <w:rsid w:val="00C7703A"/>
    <w:rsid w:val="00C771F3"/>
    <w:rsid w:val="00C777AA"/>
    <w:rsid w:val="00C808DA"/>
    <w:rsid w:val="00C826A8"/>
    <w:rsid w:val="00C8372F"/>
    <w:rsid w:val="00C845C6"/>
    <w:rsid w:val="00C84F90"/>
    <w:rsid w:val="00C86019"/>
    <w:rsid w:val="00C8606A"/>
    <w:rsid w:val="00C8760A"/>
    <w:rsid w:val="00C87AAC"/>
    <w:rsid w:val="00C87EA2"/>
    <w:rsid w:val="00C9064E"/>
    <w:rsid w:val="00C9065D"/>
    <w:rsid w:val="00C90C64"/>
    <w:rsid w:val="00C90CC8"/>
    <w:rsid w:val="00C9110E"/>
    <w:rsid w:val="00C91381"/>
    <w:rsid w:val="00C9168B"/>
    <w:rsid w:val="00C91D4F"/>
    <w:rsid w:val="00C923D3"/>
    <w:rsid w:val="00C9247B"/>
    <w:rsid w:val="00C9265D"/>
    <w:rsid w:val="00C926B1"/>
    <w:rsid w:val="00C93FED"/>
    <w:rsid w:val="00C94415"/>
    <w:rsid w:val="00C95148"/>
    <w:rsid w:val="00C96B90"/>
    <w:rsid w:val="00C96C15"/>
    <w:rsid w:val="00C97648"/>
    <w:rsid w:val="00C978EC"/>
    <w:rsid w:val="00C978FE"/>
    <w:rsid w:val="00CA06C0"/>
    <w:rsid w:val="00CA0E07"/>
    <w:rsid w:val="00CA14AA"/>
    <w:rsid w:val="00CA2099"/>
    <w:rsid w:val="00CA2A94"/>
    <w:rsid w:val="00CA3FCB"/>
    <w:rsid w:val="00CA42C0"/>
    <w:rsid w:val="00CA54C9"/>
    <w:rsid w:val="00CA57AD"/>
    <w:rsid w:val="00CA59DC"/>
    <w:rsid w:val="00CA5A8C"/>
    <w:rsid w:val="00CA6345"/>
    <w:rsid w:val="00CA65C2"/>
    <w:rsid w:val="00CA6F1B"/>
    <w:rsid w:val="00CA7A11"/>
    <w:rsid w:val="00CA7E00"/>
    <w:rsid w:val="00CA7F57"/>
    <w:rsid w:val="00CB045B"/>
    <w:rsid w:val="00CB124D"/>
    <w:rsid w:val="00CB1466"/>
    <w:rsid w:val="00CB1547"/>
    <w:rsid w:val="00CB2314"/>
    <w:rsid w:val="00CB2F34"/>
    <w:rsid w:val="00CB4881"/>
    <w:rsid w:val="00CB4A7B"/>
    <w:rsid w:val="00CB52C3"/>
    <w:rsid w:val="00CB5564"/>
    <w:rsid w:val="00CB58E2"/>
    <w:rsid w:val="00CB64A2"/>
    <w:rsid w:val="00CB77DE"/>
    <w:rsid w:val="00CB7DBF"/>
    <w:rsid w:val="00CC040C"/>
    <w:rsid w:val="00CC0933"/>
    <w:rsid w:val="00CC1038"/>
    <w:rsid w:val="00CC1794"/>
    <w:rsid w:val="00CC2323"/>
    <w:rsid w:val="00CC2E90"/>
    <w:rsid w:val="00CC3359"/>
    <w:rsid w:val="00CC3FDF"/>
    <w:rsid w:val="00CC40CD"/>
    <w:rsid w:val="00CC4425"/>
    <w:rsid w:val="00CC4A1E"/>
    <w:rsid w:val="00CC4FAF"/>
    <w:rsid w:val="00CC54F5"/>
    <w:rsid w:val="00CC5A05"/>
    <w:rsid w:val="00CC5C88"/>
    <w:rsid w:val="00CC6690"/>
    <w:rsid w:val="00CC6B6F"/>
    <w:rsid w:val="00CC6C13"/>
    <w:rsid w:val="00CD00A1"/>
    <w:rsid w:val="00CD03AC"/>
    <w:rsid w:val="00CD0BBD"/>
    <w:rsid w:val="00CD0C6D"/>
    <w:rsid w:val="00CD2430"/>
    <w:rsid w:val="00CD275A"/>
    <w:rsid w:val="00CD2C24"/>
    <w:rsid w:val="00CD2D9C"/>
    <w:rsid w:val="00CD3E66"/>
    <w:rsid w:val="00CD55A3"/>
    <w:rsid w:val="00CD5E45"/>
    <w:rsid w:val="00CD6216"/>
    <w:rsid w:val="00CD753D"/>
    <w:rsid w:val="00CD78B4"/>
    <w:rsid w:val="00CD7E28"/>
    <w:rsid w:val="00CE025E"/>
    <w:rsid w:val="00CE0705"/>
    <w:rsid w:val="00CE1D1B"/>
    <w:rsid w:val="00CE3035"/>
    <w:rsid w:val="00CE3198"/>
    <w:rsid w:val="00CE3CBF"/>
    <w:rsid w:val="00CE4247"/>
    <w:rsid w:val="00CE468E"/>
    <w:rsid w:val="00CE4934"/>
    <w:rsid w:val="00CE4CF3"/>
    <w:rsid w:val="00CE5775"/>
    <w:rsid w:val="00CE5B62"/>
    <w:rsid w:val="00CE5E17"/>
    <w:rsid w:val="00CE6193"/>
    <w:rsid w:val="00CE700F"/>
    <w:rsid w:val="00CE7659"/>
    <w:rsid w:val="00CE7F83"/>
    <w:rsid w:val="00CF151C"/>
    <w:rsid w:val="00CF19EF"/>
    <w:rsid w:val="00CF1CD7"/>
    <w:rsid w:val="00CF21C1"/>
    <w:rsid w:val="00CF2DE9"/>
    <w:rsid w:val="00CF3383"/>
    <w:rsid w:val="00CF4C83"/>
    <w:rsid w:val="00CF501C"/>
    <w:rsid w:val="00CF6473"/>
    <w:rsid w:val="00CF6A17"/>
    <w:rsid w:val="00CF6C2C"/>
    <w:rsid w:val="00CF7B5F"/>
    <w:rsid w:val="00D004BD"/>
    <w:rsid w:val="00D00592"/>
    <w:rsid w:val="00D00675"/>
    <w:rsid w:val="00D011A1"/>
    <w:rsid w:val="00D01502"/>
    <w:rsid w:val="00D020F5"/>
    <w:rsid w:val="00D02824"/>
    <w:rsid w:val="00D02AFE"/>
    <w:rsid w:val="00D02FB3"/>
    <w:rsid w:val="00D039D3"/>
    <w:rsid w:val="00D04516"/>
    <w:rsid w:val="00D06068"/>
    <w:rsid w:val="00D0626F"/>
    <w:rsid w:val="00D07D24"/>
    <w:rsid w:val="00D07E0A"/>
    <w:rsid w:val="00D1035F"/>
    <w:rsid w:val="00D10A15"/>
    <w:rsid w:val="00D10DEF"/>
    <w:rsid w:val="00D11746"/>
    <w:rsid w:val="00D1301E"/>
    <w:rsid w:val="00D13D35"/>
    <w:rsid w:val="00D14009"/>
    <w:rsid w:val="00D1444B"/>
    <w:rsid w:val="00D15038"/>
    <w:rsid w:val="00D15DDA"/>
    <w:rsid w:val="00D1729C"/>
    <w:rsid w:val="00D174F3"/>
    <w:rsid w:val="00D1768D"/>
    <w:rsid w:val="00D21075"/>
    <w:rsid w:val="00D2108B"/>
    <w:rsid w:val="00D21317"/>
    <w:rsid w:val="00D21D5F"/>
    <w:rsid w:val="00D225A2"/>
    <w:rsid w:val="00D225E8"/>
    <w:rsid w:val="00D2301E"/>
    <w:rsid w:val="00D239D8"/>
    <w:rsid w:val="00D23DD4"/>
    <w:rsid w:val="00D23F22"/>
    <w:rsid w:val="00D247CB"/>
    <w:rsid w:val="00D24BB1"/>
    <w:rsid w:val="00D2583E"/>
    <w:rsid w:val="00D2592E"/>
    <w:rsid w:val="00D25A87"/>
    <w:rsid w:val="00D25EF7"/>
    <w:rsid w:val="00D268A1"/>
    <w:rsid w:val="00D271A2"/>
    <w:rsid w:val="00D271D6"/>
    <w:rsid w:val="00D27333"/>
    <w:rsid w:val="00D3000A"/>
    <w:rsid w:val="00D3019C"/>
    <w:rsid w:val="00D30D55"/>
    <w:rsid w:val="00D312CB"/>
    <w:rsid w:val="00D31C5D"/>
    <w:rsid w:val="00D32C8C"/>
    <w:rsid w:val="00D33A43"/>
    <w:rsid w:val="00D34335"/>
    <w:rsid w:val="00D35835"/>
    <w:rsid w:val="00D362E5"/>
    <w:rsid w:val="00D368F3"/>
    <w:rsid w:val="00D36A6D"/>
    <w:rsid w:val="00D3748D"/>
    <w:rsid w:val="00D37FE5"/>
    <w:rsid w:val="00D40011"/>
    <w:rsid w:val="00D40C0D"/>
    <w:rsid w:val="00D40CD1"/>
    <w:rsid w:val="00D40F4E"/>
    <w:rsid w:val="00D4169B"/>
    <w:rsid w:val="00D41BF0"/>
    <w:rsid w:val="00D42089"/>
    <w:rsid w:val="00D423C8"/>
    <w:rsid w:val="00D43E07"/>
    <w:rsid w:val="00D4471F"/>
    <w:rsid w:val="00D4582F"/>
    <w:rsid w:val="00D45FD0"/>
    <w:rsid w:val="00D46072"/>
    <w:rsid w:val="00D46B18"/>
    <w:rsid w:val="00D4777B"/>
    <w:rsid w:val="00D4779A"/>
    <w:rsid w:val="00D47DE2"/>
    <w:rsid w:val="00D50F24"/>
    <w:rsid w:val="00D514F3"/>
    <w:rsid w:val="00D519AD"/>
    <w:rsid w:val="00D51A0D"/>
    <w:rsid w:val="00D51BFE"/>
    <w:rsid w:val="00D5213E"/>
    <w:rsid w:val="00D53532"/>
    <w:rsid w:val="00D53576"/>
    <w:rsid w:val="00D53D78"/>
    <w:rsid w:val="00D54489"/>
    <w:rsid w:val="00D55092"/>
    <w:rsid w:val="00D5614A"/>
    <w:rsid w:val="00D564AE"/>
    <w:rsid w:val="00D5689C"/>
    <w:rsid w:val="00D56E33"/>
    <w:rsid w:val="00D571E2"/>
    <w:rsid w:val="00D5731B"/>
    <w:rsid w:val="00D57898"/>
    <w:rsid w:val="00D57D45"/>
    <w:rsid w:val="00D60208"/>
    <w:rsid w:val="00D60781"/>
    <w:rsid w:val="00D612B7"/>
    <w:rsid w:val="00D61513"/>
    <w:rsid w:val="00D6236C"/>
    <w:rsid w:val="00D62661"/>
    <w:rsid w:val="00D63140"/>
    <w:rsid w:val="00D64325"/>
    <w:rsid w:val="00D647F6"/>
    <w:rsid w:val="00D64C38"/>
    <w:rsid w:val="00D656DD"/>
    <w:rsid w:val="00D65E2D"/>
    <w:rsid w:val="00D65F9D"/>
    <w:rsid w:val="00D66513"/>
    <w:rsid w:val="00D666AB"/>
    <w:rsid w:val="00D6699E"/>
    <w:rsid w:val="00D66D2B"/>
    <w:rsid w:val="00D67E12"/>
    <w:rsid w:val="00D70324"/>
    <w:rsid w:val="00D710C6"/>
    <w:rsid w:val="00D716F2"/>
    <w:rsid w:val="00D71AAC"/>
    <w:rsid w:val="00D71E98"/>
    <w:rsid w:val="00D7247D"/>
    <w:rsid w:val="00D73862"/>
    <w:rsid w:val="00D73F0F"/>
    <w:rsid w:val="00D7457F"/>
    <w:rsid w:val="00D748DC"/>
    <w:rsid w:val="00D749DE"/>
    <w:rsid w:val="00D75970"/>
    <w:rsid w:val="00D75C1B"/>
    <w:rsid w:val="00D75F62"/>
    <w:rsid w:val="00D75F7B"/>
    <w:rsid w:val="00D7614C"/>
    <w:rsid w:val="00D7646A"/>
    <w:rsid w:val="00D76C72"/>
    <w:rsid w:val="00D76D1E"/>
    <w:rsid w:val="00D775D0"/>
    <w:rsid w:val="00D7778D"/>
    <w:rsid w:val="00D77FB9"/>
    <w:rsid w:val="00D806AB"/>
    <w:rsid w:val="00D8073C"/>
    <w:rsid w:val="00D80BB7"/>
    <w:rsid w:val="00D80EEF"/>
    <w:rsid w:val="00D81420"/>
    <w:rsid w:val="00D81B6A"/>
    <w:rsid w:val="00D81BB3"/>
    <w:rsid w:val="00D81C93"/>
    <w:rsid w:val="00D82A67"/>
    <w:rsid w:val="00D82CF0"/>
    <w:rsid w:val="00D83D9D"/>
    <w:rsid w:val="00D83F89"/>
    <w:rsid w:val="00D8425A"/>
    <w:rsid w:val="00D84431"/>
    <w:rsid w:val="00D84DDC"/>
    <w:rsid w:val="00D85015"/>
    <w:rsid w:val="00D8523C"/>
    <w:rsid w:val="00D85ADD"/>
    <w:rsid w:val="00D860D0"/>
    <w:rsid w:val="00D86D72"/>
    <w:rsid w:val="00D87558"/>
    <w:rsid w:val="00D879B0"/>
    <w:rsid w:val="00D9058A"/>
    <w:rsid w:val="00D90C78"/>
    <w:rsid w:val="00D92153"/>
    <w:rsid w:val="00D92299"/>
    <w:rsid w:val="00D92300"/>
    <w:rsid w:val="00D92A28"/>
    <w:rsid w:val="00D93AE2"/>
    <w:rsid w:val="00D93EE7"/>
    <w:rsid w:val="00D942EF"/>
    <w:rsid w:val="00D943CA"/>
    <w:rsid w:val="00D946DA"/>
    <w:rsid w:val="00D95021"/>
    <w:rsid w:val="00D9518C"/>
    <w:rsid w:val="00D952F2"/>
    <w:rsid w:val="00D9537D"/>
    <w:rsid w:val="00D95B37"/>
    <w:rsid w:val="00D9732B"/>
    <w:rsid w:val="00D97AEB"/>
    <w:rsid w:val="00D97F0E"/>
    <w:rsid w:val="00DA0F66"/>
    <w:rsid w:val="00DA12B4"/>
    <w:rsid w:val="00DA1B9F"/>
    <w:rsid w:val="00DA1E36"/>
    <w:rsid w:val="00DA1ED7"/>
    <w:rsid w:val="00DA2A7F"/>
    <w:rsid w:val="00DA3460"/>
    <w:rsid w:val="00DA38DB"/>
    <w:rsid w:val="00DA3A91"/>
    <w:rsid w:val="00DA3F6D"/>
    <w:rsid w:val="00DA4AA0"/>
    <w:rsid w:val="00DA4D67"/>
    <w:rsid w:val="00DA545A"/>
    <w:rsid w:val="00DA563A"/>
    <w:rsid w:val="00DA684B"/>
    <w:rsid w:val="00DA71FF"/>
    <w:rsid w:val="00DA7763"/>
    <w:rsid w:val="00DA7E47"/>
    <w:rsid w:val="00DB0006"/>
    <w:rsid w:val="00DB02A4"/>
    <w:rsid w:val="00DB0CB3"/>
    <w:rsid w:val="00DB1107"/>
    <w:rsid w:val="00DB152F"/>
    <w:rsid w:val="00DB195D"/>
    <w:rsid w:val="00DB22B4"/>
    <w:rsid w:val="00DB2B68"/>
    <w:rsid w:val="00DB3035"/>
    <w:rsid w:val="00DB4312"/>
    <w:rsid w:val="00DB4978"/>
    <w:rsid w:val="00DB5D48"/>
    <w:rsid w:val="00DB5E6A"/>
    <w:rsid w:val="00DB5FE8"/>
    <w:rsid w:val="00DB65E3"/>
    <w:rsid w:val="00DB6C74"/>
    <w:rsid w:val="00DB6EBD"/>
    <w:rsid w:val="00DB707E"/>
    <w:rsid w:val="00DB7200"/>
    <w:rsid w:val="00DB7DF9"/>
    <w:rsid w:val="00DC0757"/>
    <w:rsid w:val="00DC14CE"/>
    <w:rsid w:val="00DC1B98"/>
    <w:rsid w:val="00DC2097"/>
    <w:rsid w:val="00DC2C90"/>
    <w:rsid w:val="00DC31ED"/>
    <w:rsid w:val="00DC4244"/>
    <w:rsid w:val="00DC44B5"/>
    <w:rsid w:val="00DC4743"/>
    <w:rsid w:val="00DC5DB3"/>
    <w:rsid w:val="00DC67E8"/>
    <w:rsid w:val="00DC693B"/>
    <w:rsid w:val="00DC6F28"/>
    <w:rsid w:val="00DC7C85"/>
    <w:rsid w:val="00DD1007"/>
    <w:rsid w:val="00DD1233"/>
    <w:rsid w:val="00DD1522"/>
    <w:rsid w:val="00DD1CBF"/>
    <w:rsid w:val="00DD237F"/>
    <w:rsid w:val="00DD3299"/>
    <w:rsid w:val="00DD3BC8"/>
    <w:rsid w:val="00DD47A5"/>
    <w:rsid w:val="00DD4F3E"/>
    <w:rsid w:val="00DD55B3"/>
    <w:rsid w:val="00DD6AE5"/>
    <w:rsid w:val="00DD7904"/>
    <w:rsid w:val="00DD7953"/>
    <w:rsid w:val="00DD7A32"/>
    <w:rsid w:val="00DD7BB3"/>
    <w:rsid w:val="00DE0F7E"/>
    <w:rsid w:val="00DE2260"/>
    <w:rsid w:val="00DE24CF"/>
    <w:rsid w:val="00DE2503"/>
    <w:rsid w:val="00DE2877"/>
    <w:rsid w:val="00DE2992"/>
    <w:rsid w:val="00DE37F0"/>
    <w:rsid w:val="00DE3AD8"/>
    <w:rsid w:val="00DE3D9C"/>
    <w:rsid w:val="00DE428E"/>
    <w:rsid w:val="00DE448B"/>
    <w:rsid w:val="00DE4AD4"/>
    <w:rsid w:val="00DE526C"/>
    <w:rsid w:val="00DE5C1D"/>
    <w:rsid w:val="00DF0188"/>
    <w:rsid w:val="00DF053E"/>
    <w:rsid w:val="00DF0A87"/>
    <w:rsid w:val="00DF0C61"/>
    <w:rsid w:val="00DF0F50"/>
    <w:rsid w:val="00DF111B"/>
    <w:rsid w:val="00DF14C9"/>
    <w:rsid w:val="00DF2373"/>
    <w:rsid w:val="00DF2F5C"/>
    <w:rsid w:val="00DF3528"/>
    <w:rsid w:val="00DF3F91"/>
    <w:rsid w:val="00DF4612"/>
    <w:rsid w:val="00DF4C7A"/>
    <w:rsid w:val="00DF4DE1"/>
    <w:rsid w:val="00DF5E8E"/>
    <w:rsid w:val="00DF627D"/>
    <w:rsid w:val="00DF62F0"/>
    <w:rsid w:val="00DF6442"/>
    <w:rsid w:val="00DF6B5A"/>
    <w:rsid w:val="00DF794C"/>
    <w:rsid w:val="00DF7CC1"/>
    <w:rsid w:val="00E0069C"/>
    <w:rsid w:val="00E00716"/>
    <w:rsid w:val="00E009A7"/>
    <w:rsid w:val="00E015E3"/>
    <w:rsid w:val="00E02079"/>
    <w:rsid w:val="00E03020"/>
    <w:rsid w:val="00E040BE"/>
    <w:rsid w:val="00E07BA8"/>
    <w:rsid w:val="00E100CB"/>
    <w:rsid w:val="00E10CDB"/>
    <w:rsid w:val="00E10DC8"/>
    <w:rsid w:val="00E11330"/>
    <w:rsid w:val="00E1187A"/>
    <w:rsid w:val="00E1228E"/>
    <w:rsid w:val="00E12765"/>
    <w:rsid w:val="00E12C72"/>
    <w:rsid w:val="00E1317C"/>
    <w:rsid w:val="00E134FB"/>
    <w:rsid w:val="00E13959"/>
    <w:rsid w:val="00E1413B"/>
    <w:rsid w:val="00E14234"/>
    <w:rsid w:val="00E1451A"/>
    <w:rsid w:val="00E147CB"/>
    <w:rsid w:val="00E14B2D"/>
    <w:rsid w:val="00E14B54"/>
    <w:rsid w:val="00E14C80"/>
    <w:rsid w:val="00E15544"/>
    <w:rsid w:val="00E16259"/>
    <w:rsid w:val="00E1673B"/>
    <w:rsid w:val="00E17E93"/>
    <w:rsid w:val="00E20604"/>
    <w:rsid w:val="00E206A9"/>
    <w:rsid w:val="00E20C00"/>
    <w:rsid w:val="00E2115F"/>
    <w:rsid w:val="00E21CC3"/>
    <w:rsid w:val="00E2206C"/>
    <w:rsid w:val="00E220AC"/>
    <w:rsid w:val="00E224BF"/>
    <w:rsid w:val="00E22A96"/>
    <w:rsid w:val="00E23045"/>
    <w:rsid w:val="00E24F32"/>
    <w:rsid w:val="00E25880"/>
    <w:rsid w:val="00E27292"/>
    <w:rsid w:val="00E2779B"/>
    <w:rsid w:val="00E27A05"/>
    <w:rsid w:val="00E27B4F"/>
    <w:rsid w:val="00E27E61"/>
    <w:rsid w:val="00E305CB"/>
    <w:rsid w:val="00E30C1D"/>
    <w:rsid w:val="00E30C7B"/>
    <w:rsid w:val="00E30E54"/>
    <w:rsid w:val="00E30F8A"/>
    <w:rsid w:val="00E312BA"/>
    <w:rsid w:val="00E321C5"/>
    <w:rsid w:val="00E32C89"/>
    <w:rsid w:val="00E32CDD"/>
    <w:rsid w:val="00E3316B"/>
    <w:rsid w:val="00E34874"/>
    <w:rsid w:val="00E34AD0"/>
    <w:rsid w:val="00E34C18"/>
    <w:rsid w:val="00E351ED"/>
    <w:rsid w:val="00E35DB4"/>
    <w:rsid w:val="00E35FAB"/>
    <w:rsid w:val="00E40F80"/>
    <w:rsid w:val="00E41A05"/>
    <w:rsid w:val="00E41A7B"/>
    <w:rsid w:val="00E4208C"/>
    <w:rsid w:val="00E426A7"/>
    <w:rsid w:val="00E43270"/>
    <w:rsid w:val="00E448CC"/>
    <w:rsid w:val="00E44D28"/>
    <w:rsid w:val="00E44E80"/>
    <w:rsid w:val="00E451B9"/>
    <w:rsid w:val="00E45254"/>
    <w:rsid w:val="00E456F4"/>
    <w:rsid w:val="00E457B4"/>
    <w:rsid w:val="00E45868"/>
    <w:rsid w:val="00E45AA9"/>
    <w:rsid w:val="00E45B0A"/>
    <w:rsid w:val="00E472AD"/>
    <w:rsid w:val="00E4741A"/>
    <w:rsid w:val="00E47609"/>
    <w:rsid w:val="00E479E8"/>
    <w:rsid w:val="00E47FB2"/>
    <w:rsid w:val="00E50C72"/>
    <w:rsid w:val="00E510A6"/>
    <w:rsid w:val="00E51CB4"/>
    <w:rsid w:val="00E51E0E"/>
    <w:rsid w:val="00E52620"/>
    <w:rsid w:val="00E52D54"/>
    <w:rsid w:val="00E534D2"/>
    <w:rsid w:val="00E5384C"/>
    <w:rsid w:val="00E53937"/>
    <w:rsid w:val="00E548FF"/>
    <w:rsid w:val="00E549D8"/>
    <w:rsid w:val="00E55852"/>
    <w:rsid w:val="00E55F58"/>
    <w:rsid w:val="00E563DE"/>
    <w:rsid w:val="00E5662B"/>
    <w:rsid w:val="00E5664E"/>
    <w:rsid w:val="00E5692C"/>
    <w:rsid w:val="00E56C7B"/>
    <w:rsid w:val="00E57153"/>
    <w:rsid w:val="00E57233"/>
    <w:rsid w:val="00E57356"/>
    <w:rsid w:val="00E601DA"/>
    <w:rsid w:val="00E61995"/>
    <w:rsid w:val="00E62290"/>
    <w:rsid w:val="00E6242B"/>
    <w:rsid w:val="00E6275A"/>
    <w:rsid w:val="00E631D9"/>
    <w:rsid w:val="00E6347C"/>
    <w:rsid w:val="00E636BA"/>
    <w:rsid w:val="00E64058"/>
    <w:rsid w:val="00E645B8"/>
    <w:rsid w:val="00E64765"/>
    <w:rsid w:val="00E64800"/>
    <w:rsid w:val="00E64DBC"/>
    <w:rsid w:val="00E65217"/>
    <w:rsid w:val="00E65235"/>
    <w:rsid w:val="00E66991"/>
    <w:rsid w:val="00E669C7"/>
    <w:rsid w:val="00E66BFF"/>
    <w:rsid w:val="00E67364"/>
    <w:rsid w:val="00E67CC7"/>
    <w:rsid w:val="00E67D0C"/>
    <w:rsid w:val="00E67FC8"/>
    <w:rsid w:val="00E7083A"/>
    <w:rsid w:val="00E70ACC"/>
    <w:rsid w:val="00E70DF0"/>
    <w:rsid w:val="00E70FEA"/>
    <w:rsid w:val="00E7191B"/>
    <w:rsid w:val="00E71939"/>
    <w:rsid w:val="00E72F2D"/>
    <w:rsid w:val="00E7332B"/>
    <w:rsid w:val="00E73510"/>
    <w:rsid w:val="00E73FD0"/>
    <w:rsid w:val="00E74331"/>
    <w:rsid w:val="00E7465D"/>
    <w:rsid w:val="00E7480D"/>
    <w:rsid w:val="00E74B64"/>
    <w:rsid w:val="00E74E68"/>
    <w:rsid w:val="00E75322"/>
    <w:rsid w:val="00E75B7B"/>
    <w:rsid w:val="00E7602D"/>
    <w:rsid w:val="00E76265"/>
    <w:rsid w:val="00E77148"/>
    <w:rsid w:val="00E8103D"/>
    <w:rsid w:val="00E8105F"/>
    <w:rsid w:val="00E812D2"/>
    <w:rsid w:val="00E82A1D"/>
    <w:rsid w:val="00E82B59"/>
    <w:rsid w:val="00E837C4"/>
    <w:rsid w:val="00E83A58"/>
    <w:rsid w:val="00E83D2F"/>
    <w:rsid w:val="00E840B1"/>
    <w:rsid w:val="00E84A54"/>
    <w:rsid w:val="00E84B20"/>
    <w:rsid w:val="00E85139"/>
    <w:rsid w:val="00E8563D"/>
    <w:rsid w:val="00E85EF5"/>
    <w:rsid w:val="00E870DB"/>
    <w:rsid w:val="00E90492"/>
    <w:rsid w:val="00E904AC"/>
    <w:rsid w:val="00E92A82"/>
    <w:rsid w:val="00E93CBD"/>
    <w:rsid w:val="00E9485B"/>
    <w:rsid w:val="00E961BF"/>
    <w:rsid w:val="00E965FA"/>
    <w:rsid w:val="00E96FA7"/>
    <w:rsid w:val="00E979C0"/>
    <w:rsid w:val="00E97B38"/>
    <w:rsid w:val="00E97B72"/>
    <w:rsid w:val="00E97F33"/>
    <w:rsid w:val="00EA03AB"/>
    <w:rsid w:val="00EA03B2"/>
    <w:rsid w:val="00EA1BC3"/>
    <w:rsid w:val="00EA1F64"/>
    <w:rsid w:val="00EA2902"/>
    <w:rsid w:val="00EA2C02"/>
    <w:rsid w:val="00EA3347"/>
    <w:rsid w:val="00EA3357"/>
    <w:rsid w:val="00EA365E"/>
    <w:rsid w:val="00EA3DA5"/>
    <w:rsid w:val="00EA4B33"/>
    <w:rsid w:val="00EA540B"/>
    <w:rsid w:val="00EA616D"/>
    <w:rsid w:val="00EA755E"/>
    <w:rsid w:val="00EA7DB9"/>
    <w:rsid w:val="00EB284C"/>
    <w:rsid w:val="00EB2C06"/>
    <w:rsid w:val="00EB2EA4"/>
    <w:rsid w:val="00EB31B8"/>
    <w:rsid w:val="00EB4B89"/>
    <w:rsid w:val="00EB5460"/>
    <w:rsid w:val="00EB5891"/>
    <w:rsid w:val="00EB5CD5"/>
    <w:rsid w:val="00EB6708"/>
    <w:rsid w:val="00EB6D82"/>
    <w:rsid w:val="00EB6F1B"/>
    <w:rsid w:val="00EB7BC3"/>
    <w:rsid w:val="00EC0ACE"/>
    <w:rsid w:val="00EC0F27"/>
    <w:rsid w:val="00EC19A9"/>
    <w:rsid w:val="00EC234E"/>
    <w:rsid w:val="00EC26E0"/>
    <w:rsid w:val="00EC2E6B"/>
    <w:rsid w:val="00EC32E6"/>
    <w:rsid w:val="00EC3E86"/>
    <w:rsid w:val="00EC4135"/>
    <w:rsid w:val="00EC46F2"/>
    <w:rsid w:val="00EC5255"/>
    <w:rsid w:val="00EC561F"/>
    <w:rsid w:val="00EC5911"/>
    <w:rsid w:val="00EC6760"/>
    <w:rsid w:val="00EC72B0"/>
    <w:rsid w:val="00EC74C3"/>
    <w:rsid w:val="00EC7EF9"/>
    <w:rsid w:val="00ED06A3"/>
    <w:rsid w:val="00ED0D60"/>
    <w:rsid w:val="00ED11EF"/>
    <w:rsid w:val="00ED14AC"/>
    <w:rsid w:val="00ED1978"/>
    <w:rsid w:val="00ED208E"/>
    <w:rsid w:val="00ED25F7"/>
    <w:rsid w:val="00ED2F2C"/>
    <w:rsid w:val="00ED41D7"/>
    <w:rsid w:val="00ED7402"/>
    <w:rsid w:val="00ED77A0"/>
    <w:rsid w:val="00ED7B29"/>
    <w:rsid w:val="00EE0047"/>
    <w:rsid w:val="00EE14EB"/>
    <w:rsid w:val="00EE16AB"/>
    <w:rsid w:val="00EE3036"/>
    <w:rsid w:val="00EE345C"/>
    <w:rsid w:val="00EE4154"/>
    <w:rsid w:val="00EE4E0A"/>
    <w:rsid w:val="00EE4E54"/>
    <w:rsid w:val="00EE575A"/>
    <w:rsid w:val="00EE6541"/>
    <w:rsid w:val="00EE6ED6"/>
    <w:rsid w:val="00EE6F65"/>
    <w:rsid w:val="00EE7621"/>
    <w:rsid w:val="00EE7EB1"/>
    <w:rsid w:val="00EF0EF7"/>
    <w:rsid w:val="00EF1409"/>
    <w:rsid w:val="00EF1493"/>
    <w:rsid w:val="00EF15BC"/>
    <w:rsid w:val="00EF1D7B"/>
    <w:rsid w:val="00EF206D"/>
    <w:rsid w:val="00EF20A0"/>
    <w:rsid w:val="00EF2249"/>
    <w:rsid w:val="00EF23EB"/>
    <w:rsid w:val="00EF29CD"/>
    <w:rsid w:val="00EF323D"/>
    <w:rsid w:val="00EF35D6"/>
    <w:rsid w:val="00EF35E4"/>
    <w:rsid w:val="00EF391D"/>
    <w:rsid w:val="00EF4531"/>
    <w:rsid w:val="00EF4F0A"/>
    <w:rsid w:val="00EF5130"/>
    <w:rsid w:val="00EF5530"/>
    <w:rsid w:val="00EF5781"/>
    <w:rsid w:val="00EF6430"/>
    <w:rsid w:val="00EF7813"/>
    <w:rsid w:val="00F00881"/>
    <w:rsid w:val="00F00B3E"/>
    <w:rsid w:val="00F018FB"/>
    <w:rsid w:val="00F02249"/>
    <w:rsid w:val="00F03302"/>
    <w:rsid w:val="00F03489"/>
    <w:rsid w:val="00F04069"/>
    <w:rsid w:val="00F06163"/>
    <w:rsid w:val="00F07560"/>
    <w:rsid w:val="00F07C59"/>
    <w:rsid w:val="00F10382"/>
    <w:rsid w:val="00F111DB"/>
    <w:rsid w:val="00F11ACA"/>
    <w:rsid w:val="00F123A5"/>
    <w:rsid w:val="00F1277C"/>
    <w:rsid w:val="00F13488"/>
    <w:rsid w:val="00F14D18"/>
    <w:rsid w:val="00F14F19"/>
    <w:rsid w:val="00F150CA"/>
    <w:rsid w:val="00F15AAE"/>
    <w:rsid w:val="00F15AE6"/>
    <w:rsid w:val="00F16E63"/>
    <w:rsid w:val="00F1728B"/>
    <w:rsid w:val="00F176DE"/>
    <w:rsid w:val="00F17D26"/>
    <w:rsid w:val="00F17F3A"/>
    <w:rsid w:val="00F205D4"/>
    <w:rsid w:val="00F208B7"/>
    <w:rsid w:val="00F2092C"/>
    <w:rsid w:val="00F20B7A"/>
    <w:rsid w:val="00F20C5E"/>
    <w:rsid w:val="00F21BFF"/>
    <w:rsid w:val="00F21D8D"/>
    <w:rsid w:val="00F22301"/>
    <w:rsid w:val="00F23767"/>
    <w:rsid w:val="00F23CE0"/>
    <w:rsid w:val="00F2491C"/>
    <w:rsid w:val="00F2532A"/>
    <w:rsid w:val="00F264BF"/>
    <w:rsid w:val="00F26ABA"/>
    <w:rsid w:val="00F272C8"/>
    <w:rsid w:val="00F272D1"/>
    <w:rsid w:val="00F2790E"/>
    <w:rsid w:val="00F3030B"/>
    <w:rsid w:val="00F305E0"/>
    <w:rsid w:val="00F3296C"/>
    <w:rsid w:val="00F32B52"/>
    <w:rsid w:val="00F33B7C"/>
    <w:rsid w:val="00F33C96"/>
    <w:rsid w:val="00F344AB"/>
    <w:rsid w:val="00F3462B"/>
    <w:rsid w:val="00F34DD9"/>
    <w:rsid w:val="00F35253"/>
    <w:rsid w:val="00F367E4"/>
    <w:rsid w:val="00F37774"/>
    <w:rsid w:val="00F403D2"/>
    <w:rsid w:val="00F4209D"/>
    <w:rsid w:val="00F422B0"/>
    <w:rsid w:val="00F435BB"/>
    <w:rsid w:val="00F44C36"/>
    <w:rsid w:val="00F467F2"/>
    <w:rsid w:val="00F46934"/>
    <w:rsid w:val="00F473A2"/>
    <w:rsid w:val="00F474D4"/>
    <w:rsid w:val="00F47C1C"/>
    <w:rsid w:val="00F47E07"/>
    <w:rsid w:val="00F50A15"/>
    <w:rsid w:val="00F50A32"/>
    <w:rsid w:val="00F51101"/>
    <w:rsid w:val="00F51858"/>
    <w:rsid w:val="00F52E1F"/>
    <w:rsid w:val="00F53203"/>
    <w:rsid w:val="00F53B61"/>
    <w:rsid w:val="00F53C34"/>
    <w:rsid w:val="00F54458"/>
    <w:rsid w:val="00F546A7"/>
    <w:rsid w:val="00F54B45"/>
    <w:rsid w:val="00F54C06"/>
    <w:rsid w:val="00F5573D"/>
    <w:rsid w:val="00F55914"/>
    <w:rsid w:val="00F5607C"/>
    <w:rsid w:val="00F56623"/>
    <w:rsid w:val="00F571C3"/>
    <w:rsid w:val="00F57232"/>
    <w:rsid w:val="00F5745C"/>
    <w:rsid w:val="00F600E2"/>
    <w:rsid w:val="00F60B12"/>
    <w:rsid w:val="00F60C99"/>
    <w:rsid w:val="00F61974"/>
    <w:rsid w:val="00F61B34"/>
    <w:rsid w:val="00F62446"/>
    <w:rsid w:val="00F62B89"/>
    <w:rsid w:val="00F63DEC"/>
    <w:rsid w:val="00F63ED8"/>
    <w:rsid w:val="00F640D1"/>
    <w:rsid w:val="00F6422C"/>
    <w:rsid w:val="00F64EEE"/>
    <w:rsid w:val="00F6586C"/>
    <w:rsid w:val="00F65B47"/>
    <w:rsid w:val="00F66076"/>
    <w:rsid w:val="00F66124"/>
    <w:rsid w:val="00F668E6"/>
    <w:rsid w:val="00F66C0C"/>
    <w:rsid w:val="00F66C68"/>
    <w:rsid w:val="00F6763F"/>
    <w:rsid w:val="00F67E84"/>
    <w:rsid w:val="00F70AFA"/>
    <w:rsid w:val="00F713B3"/>
    <w:rsid w:val="00F71F19"/>
    <w:rsid w:val="00F7214A"/>
    <w:rsid w:val="00F723D6"/>
    <w:rsid w:val="00F72754"/>
    <w:rsid w:val="00F72AB6"/>
    <w:rsid w:val="00F72B39"/>
    <w:rsid w:val="00F72DEC"/>
    <w:rsid w:val="00F733E7"/>
    <w:rsid w:val="00F73659"/>
    <w:rsid w:val="00F743C4"/>
    <w:rsid w:val="00F7468F"/>
    <w:rsid w:val="00F74E2F"/>
    <w:rsid w:val="00F74EC2"/>
    <w:rsid w:val="00F75322"/>
    <w:rsid w:val="00F7538B"/>
    <w:rsid w:val="00F766AA"/>
    <w:rsid w:val="00F769B1"/>
    <w:rsid w:val="00F76D99"/>
    <w:rsid w:val="00F77857"/>
    <w:rsid w:val="00F80128"/>
    <w:rsid w:val="00F80911"/>
    <w:rsid w:val="00F80C13"/>
    <w:rsid w:val="00F80E3A"/>
    <w:rsid w:val="00F81D4F"/>
    <w:rsid w:val="00F82EC7"/>
    <w:rsid w:val="00F8404B"/>
    <w:rsid w:val="00F853FE"/>
    <w:rsid w:val="00F855BF"/>
    <w:rsid w:val="00F867E5"/>
    <w:rsid w:val="00F87962"/>
    <w:rsid w:val="00F87B3B"/>
    <w:rsid w:val="00F87CF6"/>
    <w:rsid w:val="00F90529"/>
    <w:rsid w:val="00F9092A"/>
    <w:rsid w:val="00F90A23"/>
    <w:rsid w:val="00F90C39"/>
    <w:rsid w:val="00F910EC"/>
    <w:rsid w:val="00F91593"/>
    <w:rsid w:val="00F91836"/>
    <w:rsid w:val="00F9260F"/>
    <w:rsid w:val="00F947DA"/>
    <w:rsid w:val="00F954E8"/>
    <w:rsid w:val="00F95CA0"/>
    <w:rsid w:val="00F96B22"/>
    <w:rsid w:val="00F97BB8"/>
    <w:rsid w:val="00FA0178"/>
    <w:rsid w:val="00FA11F0"/>
    <w:rsid w:val="00FA1935"/>
    <w:rsid w:val="00FA1DCC"/>
    <w:rsid w:val="00FA2198"/>
    <w:rsid w:val="00FA2726"/>
    <w:rsid w:val="00FA2B32"/>
    <w:rsid w:val="00FA3DA3"/>
    <w:rsid w:val="00FA4354"/>
    <w:rsid w:val="00FA44FC"/>
    <w:rsid w:val="00FA4959"/>
    <w:rsid w:val="00FA49B9"/>
    <w:rsid w:val="00FA54F0"/>
    <w:rsid w:val="00FA5D55"/>
    <w:rsid w:val="00FA70D0"/>
    <w:rsid w:val="00FA747E"/>
    <w:rsid w:val="00FB14EF"/>
    <w:rsid w:val="00FB1DE5"/>
    <w:rsid w:val="00FB25A4"/>
    <w:rsid w:val="00FB29A5"/>
    <w:rsid w:val="00FB349E"/>
    <w:rsid w:val="00FB3EC1"/>
    <w:rsid w:val="00FB4B1C"/>
    <w:rsid w:val="00FB4ECA"/>
    <w:rsid w:val="00FB63BC"/>
    <w:rsid w:val="00FB79C8"/>
    <w:rsid w:val="00FB7A6E"/>
    <w:rsid w:val="00FB7EA4"/>
    <w:rsid w:val="00FC0DBE"/>
    <w:rsid w:val="00FC2DD4"/>
    <w:rsid w:val="00FC309B"/>
    <w:rsid w:val="00FC3552"/>
    <w:rsid w:val="00FC3593"/>
    <w:rsid w:val="00FC5319"/>
    <w:rsid w:val="00FC56C2"/>
    <w:rsid w:val="00FC5B54"/>
    <w:rsid w:val="00FC5ED2"/>
    <w:rsid w:val="00FC6949"/>
    <w:rsid w:val="00FC6E26"/>
    <w:rsid w:val="00FD021C"/>
    <w:rsid w:val="00FD05D3"/>
    <w:rsid w:val="00FD17F7"/>
    <w:rsid w:val="00FD2F95"/>
    <w:rsid w:val="00FD2FBA"/>
    <w:rsid w:val="00FD3064"/>
    <w:rsid w:val="00FD3182"/>
    <w:rsid w:val="00FD4809"/>
    <w:rsid w:val="00FD49AF"/>
    <w:rsid w:val="00FD614A"/>
    <w:rsid w:val="00FD62E3"/>
    <w:rsid w:val="00FD6700"/>
    <w:rsid w:val="00FD7248"/>
    <w:rsid w:val="00FD7484"/>
    <w:rsid w:val="00FE0523"/>
    <w:rsid w:val="00FE053B"/>
    <w:rsid w:val="00FE1B3A"/>
    <w:rsid w:val="00FE276D"/>
    <w:rsid w:val="00FE3895"/>
    <w:rsid w:val="00FE3FBF"/>
    <w:rsid w:val="00FE4C79"/>
    <w:rsid w:val="00FE5359"/>
    <w:rsid w:val="00FE5A28"/>
    <w:rsid w:val="00FE5A65"/>
    <w:rsid w:val="00FE7A2F"/>
    <w:rsid w:val="00FF0426"/>
    <w:rsid w:val="00FF0AF2"/>
    <w:rsid w:val="00FF102F"/>
    <w:rsid w:val="00FF1A3F"/>
    <w:rsid w:val="00FF26AE"/>
    <w:rsid w:val="00FF47ED"/>
    <w:rsid w:val="00FF4DCB"/>
    <w:rsid w:val="00FF698C"/>
    <w:rsid w:val="00FF7F7E"/>
    <w:rsid w:val="00FF7FA3"/>
    <w:rsid w:val="021D5DE7"/>
    <w:rsid w:val="03FD2DA3"/>
    <w:rsid w:val="055D257C"/>
    <w:rsid w:val="056B137D"/>
    <w:rsid w:val="05C530F1"/>
    <w:rsid w:val="06190326"/>
    <w:rsid w:val="067520CC"/>
    <w:rsid w:val="07B829E6"/>
    <w:rsid w:val="08DD4E67"/>
    <w:rsid w:val="091C55D2"/>
    <w:rsid w:val="09256559"/>
    <w:rsid w:val="0A461CA1"/>
    <w:rsid w:val="0ACA4E6E"/>
    <w:rsid w:val="0C53015A"/>
    <w:rsid w:val="0E2523C8"/>
    <w:rsid w:val="0F382ECA"/>
    <w:rsid w:val="0FEA2EDB"/>
    <w:rsid w:val="0FEF79F0"/>
    <w:rsid w:val="11720DAA"/>
    <w:rsid w:val="11C00006"/>
    <w:rsid w:val="12783719"/>
    <w:rsid w:val="12BB3814"/>
    <w:rsid w:val="16CF02A2"/>
    <w:rsid w:val="17447A70"/>
    <w:rsid w:val="19252319"/>
    <w:rsid w:val="19643C65"/>
    <w:rsid w:val="1A3238F7"/>
    <w:rsid w:val="1A8E49A7"/>
    <w:rsid w:val="1A9C5A2B"/>
    <w:rsid w:val="1BB52A57"/>
    <w:rsid w:val="1DB73DB9"/>
    <w:rsid w:val="1E2F75DE"/>
    <w:rsid w:val="1EDA306C"/>
    <w:rsid w:val="220F63BB"/>
    <w:rsid w:val="233D1D3C"/>
    <w:rsid w:val="23B46FEB"/>
    <w:rsid w:val="23B60E15"/>
    <w:rsid w:val="23D84FD4"/>
    <w:rsid w:val="23DB43C6"/>
    <w:rsid w:val="23FB1166"/>
    <w:rsid w:val="26DB17BC"/>
    <w:rsid w:val="29344AD4"/>
    <w:rsid w:val="2BCF4350"/>
    <w:rsid w:val="2C8B6221"/>
    <w:rsid w:val="2DDD3A55"/>
    <w:rsid w:val="2EDB1FD6"/>
    <w:rsid w:val="2FF24CDB"/>
    <w:rsid w:val="30162B12"/>
    <w:rsid w:val="3086765C"/>
    <w:rsid w:val="36025EE0"/>
    <w:rsid w:val="37796100"/>
    <w:rsid w:val="37E82D69"/>
    <w:rsid w:val="3B562229"/>
    <w:rsid w:val="3D144979"/>
    <w:rsid w:val="3E375A2E"/>
    <w:rsid w:val="3E6767C1"/>
    <w:rsid w:val="3FA67999"/>
    <w:rsid w:val="3FDA15AC"/>
    <w:rsid w:val="402A5596"/>
    <w:rsid w:val="4064475A"/>
    <w:rsid w:val="43BC1A9E"/>
    <w:rsid w:val="452C01E6"/>
    <w:rsid w:val="47494D67"/>
    <w:rsid w:val="485104FE"/>
    <w:rsid w:val="488A7493"/>
    <w:rsid w:val="49677195"/>
    <w:rsid w:val="498F2F68"/>
    <w:rsid w:val="49E709F9"/>
    <w:rsid w:val="4A422E4C"/>
    <w:rsid w:val="4BC47B3F"/>
    <w:rsid w:val="512A2F8C"/>
    <w:rsid w:val="523920AE"/>
    <w:rsid w:val="53DF537D"/>
    <w:rsid w:val="54406FFD"/>
    <w:rsid w:val="56072561"/>
    <w:rsid w:val="562B3DF0"/>
    <w:rsid w:val="56D26F11"/>
    <w:rsid w:val="56E81136"/>
    <w:rsid w:val="589F1C44"/>
    <w:rsid w:val="5A740127"/>
    <w:rsid w:val="5ACC2EEE"/>
    <w:rsid w:val="5B8E6ECC"/>
    <w:rsid w:val="5EB20E9E"/>
    <w:rsid w:val="60AD16D1"/>
    <w:rsid w:val="62A57B08"/>
    <w:rsid w:val="63892320"/>
    <w:rsid w:val="63BB13BD"/>
    <w:rsid w:val="6673286B"/>
    <w:rsid w:val="66B57E71"/>
    <w:rsid w:val="693F7A74"/>
    <w:rsid w:val="699834FA"/>
    <w:rsid w:val="6ADE29DB"/>
    <w:rsid w:val="6B715B1E"/>
    <w:rsid w:val="6BC96995"/>
    <w:rsid w:val="6C3C2BE5"/>
    <w:rsid w:val="6C807130"/>
    <w:rsid w:val="6CE93C40"/>
    <w:rsid w:val="6E1C1246"/>
    <w:rsid w:val="6EA86B31"/>
    <w:rsid w:val="70BB4D40"/>
    <w:rsid w:val="71671CA2"/>
    <w:rsid w:val="727270C7"/>
    <w:rsid w:val="72853D6C"/>
    <w:rsid w:val="735435BD"/>
    <w:rsid w:val="75DD0633"/>
    <w:rsid w:val="76161BF0"/>
    <w:rsid w:val="78FD29CD"/>
    <w:rsid w:val="7B9065CD"/>
    <w:rsid w:val="7BD622FF"/>
    <w:rsid w:val="7C0A1100"/>
    <w:rsid w:val="7D1847FA"/>
    <w:rsid w:val="7DA67F3F"/>
    <w:rsid w:val="7E1A1182"/>
    <w:rsid w:val="7F23793A"/>
    <w:rsid w:val="7F547716"/>
    <w:rsid w:val="7F770085"/>
    <w:rsid w:val="7F9D3601"/>
    <w:rsid w:val="7FB3767E"/>
    <w:rsid w:val="7FCE4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iPriority w:val="0"/>
  </w:style>
  <w:style w:type="table" w:default="1" w:styleId="15">
    <w:name w:val="Normal Table"/>
    <w:semiHidden/>
    <w:uiPriority w:val="0"/>
    <w:tblPr>
      <w:tblCellMar>
        <w:top w:w="0" w:type="dxa"/>
        <w:left w:w="108" w:type="dxa"/>
        <w:bottom w:w="0" w:type="dxa"/>
        <w:right w:w="108" w:type="dxa"/>
      </w:tblCellMar>
    </w:tblPr>
  </w:style>
  <w:style w:type="paragraph" w:styleId="5">
    <w:name w:val="annotation text"/>
    <w:basedOn w:val="1"/>
    <w:link w:val="22"/>
    <w:semiHidden/>
    <w:uiPriority w:val="0"/>
    <w:pPr>
      <w:jc w:val="left"/>
    </w:pPr>
  </w:style>
  <w:style w:type="paragraph" w:styleId="6">
    <w:name w:val="Body Text"/>
    <w:basedOn w:val="1"/>
    <w:link w:val="56"/>
    <w:unhideWhenUsed/>
    <w:qFormat/>
    <w:uiPriority w:val="0"/>
    <w:pPr>
      <w:spacing w:after="120"/>
    </w:pPr>
  </w:style>
  <w:style w:type="paragraph" w:styleId="7">
    <w:name w:val="Body Text Indent"/>
    <w:basedOn w:val="1"/>
    <w:uiPriority w:val="0"/>
    <w:pPr>
      <w:ind w:firstLine="437"/>
    </w:pPr>
    <w:rPr>
      <w:rFonts w:ascii="华文中宋" w:hAnsi="华文中宋" w:eastAsia="华文中宋"/>
    </w:rPr>
  </w:style>
  <w:style w:type="paragraph" w:styleId="8">
    <w:name w:val="Plain Text"/>
    <w:basedOn w:val="1"/>
    <w:link w:val="23"/>
    <w:qFormat/>
    <w:uiPriority w:val="0"/>
    <w:rPr>
      <w:rFonts w:ascii="宋体" w:hAnsi="Courier New" w:cs="Courier New"/>
      <w:szCs w:val="21"/>
    </w:rPr>
  </w:style>
  <w:style w:type="paragraph" w:styleId="9">
    <w:name w:val="Date"/>
    <w:basedOn w:val="1"/>
    <w:next w:val="1"/>
    <w:link w:val="24"/>
    <w:uiPriority w:val="0"/>
    <w:pPr>
      <w:ind w:left="100" w:leftChars="2500"/>
    </w:pPr>
  </w:style>
  <w:style w:type="paragraph" w:styleId="10">
    <w:name w:val="Balloon Text"/>
    <w:basedOn w:val="1"/>
    <w:semiHidden/>
    <w:uiPriority w:val="0"/>
    <w:rPr>
      <w:sz w:val="18"/>
      <w:szCs w:val="18"/>
    </w:rPr>
  </w:style>
  <w:style w:type="paragraph" w:styleId="11">
    <w:name w:val="footer"/>
    <w:basedOn w:val="1"/>
    <w:link w:val="25"/>
    <w:uiPriority w:val="0"/>
    <w:pPr>
      <w:tabs>
        <w:tab w:val="center" w:pos="4153"/>
        <w:tab w:val="right" w:pos="8306"/>
      </w:tabs>
      <w:snapToGrid w:val="0"/>
      <w:jc w:val="left"/>
    </w:pPr>
    <w:rPr>
      <w:sz w:val="18"/>
      <w:szCs w:val="18"/>
    </w:rPr>
  </w:style>
  <w:style w:type="paragraph" w:styleId="12">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uiPriority w:val="99"/>
    <w:pPr>
      <w:widowControl/>
      <w:spacing w:before="100" w:beforeAutospacing="1" w:after="100" w:afterAutospacing="1"/>
      <w:jc w:val="left"/>
    </w:pPr>
    <w:rPr>
      <w:rFonts w:ascii="宋体" w:hAnsi="宋体" w:cs="宋体"/>
      <w:kern w:val="0"/>
      <w:sz w:val="24"/>
    </w:rPr>
  </w:style>
  <w:style w:type="paragraph" w:styleId="14">
    <w:name w:val="Title"/>
    <w:basedOn w:val="1"/>
    <w:next w:val="1"/>
    <w:link w:val="27"/>
    <w:qFormat/>
    <w:uiPriority w:val="0"/>
    <w:pPr>
      <w:spacing w:before="240" w:after="60"/>
      <w:jc w:val="center"/>
      <w:outlineLvl w:val="0"/>
    </w:pPr>
    <w:rPr>
      <w:rFonts w:ascii="Cambria" w:hAnsi="Cambria"/>
      <w:b/>
      <w:bCs/>
      <w:sz w:val="32"/>
      <w:szCs w:val="32"/>
    </w:rPr>
  </w:style>
  <w:style w:type="table" w:styleId="16">
    <w:name w:val="Table Grid"/>
    <w:basedOn w:val="1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qFormat/>
    <w:uiPriority w:val="0"/>
    <w:rPr>
      <w:b/>
      <w:bCs/>
    </w:rPr>
  </w:style>
  <w:style w:type="character" w:styleId="19">
    <w:name w:val="page number"/>
    <w:basedOn w:val="17"/>
    <w:uiPriority w:val="0"/>
  </w:style>
  <w:style w:type="character" w:styleId="20">
    <w:name w:val="Hyperlink"/>
    <w:uiPriority w:val="0"/>
    <w:rPr>
      <w:color w:val="0000FF"/>
      <w:u w:val="single"/>
    </w:rPr>
  </w:style>
  <w:style w:type="character" w:styleId="21">
    <w:name w:val="annotation reference"/>
    <w:basedOn w:val="17"/>
    <w:semiHidden/>
    <w:unhideWhenUsed/>
    <w:qFormat/>
    <w:uiPriority w:val="0"/>
    <w:rPr>
      <w:sz w:val="21"/>
      <w:szCs w:val="21"/>
    </w:rPr>
  </w:style>
  <w:style w:type="character" w:customStyle="1" w:styleId="22">
    <w:name w:val="批注文字 Char1"/>
    <w:link w:val="5"/>
    <w:semiHidden/>
    <w:qFormat/>
    <w:uiPriority w:val="0"/>
    <w:rPr>
      <w:rFonts w:eastAsia="宋体"/>
      <w:kern w:val="2"/>
      <w:sz w:val="21"/>
      <w:szCs w:val="24"/>
      <w:lang w:val="en-US" w:eastAsia="zh-CN" w:bidi="ar-SA"/>
    </w:rPr>
  </w:style>
  <w:style w:type="character" w:customStyle="1" w:styleId="23">
    <w:name w:val="纯文本 Char2"/>
    <w:link w:val="8"/>
    <w:uiPriority w:val="0"/>
    <w:rPr>
      <w:rFonts w:ascii="宋体" w:hAnsi="Courier New" w:eastAsia="宋体" w:cs="Courier New"/>
      <w:kern w:val="2"/>
      <w:sz w:val="21"/>
      <w:szCs w:val="21"/>
      <w:lang w:val="en-US" w:eastAsia="zh-CN" w:bidi="ar-SA"/>
    </w:rPr>
  </w:style>
  <w:style w:type="character" w:customStyle="1" w:styleId="24">
    <w:name w:val="日期 Char"/>
    <w:link w:val="9"/>
    <w:semiHidden/>
    <w:locked/>
    <w:uiPriority w:val="0"/>
    <w:rPr>
      <w:rFonts w:eastAsia="宋体"/>
      <w:kern w:val="2"/>
      <w:sz w:val="21"/>
      <w:szCs w:val="24"/>
      <w:lang w:val="en-US" w:eastAsia="zh-CN" w:bidi="ar-SA"/>
    </w:rPr>
  </w:style>
  <w:style w:type="character" w:customStyle="1" w:styleId="25">
    <w:name w:val="页脚 Char2"/>
    <w:link w:val="11"/>
    <w:uiPriority w:val="0"/>
    <w:rPr>
      <w:rFonts w:eastAsia="宋体"/>
      <w:kern w:val="2"/>
      <w:sz w:val="18"/>
      <w:szCs w:val="18"/>
      <w:lang w:val="en-US" w:eastAsia="zh-CN" w:bidi="ar-SA"/>
    </w:rPr>
  </w:style>
  <w:style w:type="character" w:customStyle="1" w:styleId="26">
    <w:name w:val="页眉 Char1"/>
    <w:link w:val="12"/>
    <w:uiPriority w:val="0"/>
    <w:rPr>
      <w:rFonts w:eastAsia="宋体"/>
      <w:kern w:val="2"/>
      <w:sz w:val="18"/>
      <w:szCs w:val="18"/>
      <w:lang w:val="en-US" w:eastAsia="zh-CN" w:bidi="ar-SA"/>
    </w:rPr>
  </w:style>
  <w:style w:type="character" w:customStyle="1" w:styleId="27">
    <w:name w:val="标题 Char"/>
    <w:link w:val="14"/>
    <w:uiPriority w:val="0"/>
    <w:rPr>
      <w:rFonts w:ascii="Cambria" w:hAnsi="Cambria"/>
      <w:b/>
      <w:bCs/>
      <w:kern w:val="2"/>
      <w:sz w:val="32"/>
      <w:szCs w:val="32"/>
      <w:lang w:bidi="ar-SA"/>
    </w:rPr>
  </w:style>
  <w:style w:type="character" w:customStyle="1" w:styleId="28">
    <w:name w:val="Plain Text Char"/>
    <w:locked/>
    <w:uiPriority w:val="0"/>
    <w:rPr>
      <w:rFonts w:ascii="宋体" w:hAnsi="Courier New" w:eastAsia="宋体" w:cs="Courier New"/>
      <w:kern w:val="2"/>
      <w:sz w:val="21"/>
      <w:szCs w:val="21"/>
      <w:lang w:val="en-US" w:eastAsia="zh-CN" w:bidi="ar-SA"/>
    </w:rPr>
  </w:style>
  <w:style w:type="character" w:customStyle="1" w:styleId="29">
    <w:name w:val="apple-converted-space"/>
    <w:uiPriority w:val="0"/>
    <w:rPr>
      <w:rFonts w:cs="Times New Roman"/>
    </w:rPr>
  </w:style>
  <w:style w:type="character" w:customStyle="1" w:styleId="30">
    <w:name w:val="style141"/>
    <w:qFormat/>
    <w:uiPriority w:val="0"/>
    <w:rPr>
      <w:rFonts w:hint="eastAsia" w:ascii="宋体" w:hAnsi="宋体" w:eastAsia="宋体"/>
      <w:sz w:val="24"/>
      <w:szCs w:val="24"/>
    </w:rPr>
  </w:style>
  <w:style w:type="character" w:customStyle="1" w:styleId="31">
    <w:name w:val="纯文本 Char"/>
    <w:qFormat/>
    <w:uiPriority w:val="0"/>
    <w:rPr>
      <w:rFonts w:ascii="宋体" w:hAnsi="Courier New" w:eastAsia="宋体" w:cs="Courier New"/>
      <w:kern w:val="2"/>
      <w:sz w:val="21"/>
      <w:szCs w:val="21"/>
      <w:lang w:val="en-US" w:eastAsia="zh-CN" w:bidi="ar-SA"/>
    </w:rPr>
  </w:style>
  <w:style w:type="character" w:customStyle="1" w:styleId="32">
    <w:name w:val="Footer Char"/>
    <w:qFormat/>
    <w:locked/>
    <w:uiPriority w:val="0"/>
    <w:rPr>
      <w:rFonts w:eastAsia="宋体" w:cs="Times New Roman"/>
      <w:kern w:val="2"/>
      <w:sz w:val="18"/>
      <w:szCs w:val="18"/>
      <w:lang w:val="en-US" w:eastAsia="zh-CN" w:bidi="ar-SA"/>
    </w:rPr>
  </w:style>
  <w:style w:type="character" w:customStyle="1" w:styleId="33">
    <w:name w:val="批注文字 Char"/>
    <w:semiHidden/>
    <w:qFormat/>
    <w:uiPriority w:val="0"/>
    <w:rPr>
      <w:kern w:val="2"/>
      <w:sz w:val="21"/>
    </w:rPr>
  </w:style>
  <w:style w:type="character" w:customStyle="1" w:styleId="34">
    <w:name w:val="页眉 Char"/>
    <w:qFormat/>
    <w:uiPriority w:val="0"/>
    <w:rPr>
      <w:kern w:val="2"/>
      <w:sz w:val="18"/>
      <w:szCs w:val="18"/>
      <w:lang w:bidi="ar-SA"/>
    </w:rPr>
  </w:style>
  <w:style w:type="character" w:customStyle="1" w:styleId="35">
    <w:name w:val="页脚 Char"/>
    <w:qFormat/>
    <w:uiPriority w:val="0"/>
    <w:rPr>
      <w:kern w:val="2"/>
      <w:sz w:val="18"/>
      <w:szCs w:val="18"/>
      <w:lang w:bidi="ar-SA"/>
    </w:rPr>
  </w:style>
  <w:style w:type="character" w:customStyle="1" w:styleId="36">
    <w:name w:val="纯文本 Char1"/>
    <w:qFormat/>
    <w:uiPriority w:val="0"/>
    <w:rPr>
      <w:rFonts w:ascii="宋体" w:hAnsi="Courier New" w:eastAsia="宋体"/>
      <w:lang w:bidi="ar-SA"/>
    </w:rPr>
  </w:style>
  <w:style w:type="character" w:customStyle="1" w:styleId="37">
    <w:name w:val="Header Char"/>
    <w:qFormat/>
    <w:locked/>
    <w:uiPriority w:val="0"/>
    <w:rPr>
      <w:rFonts w:eastAsia="宋体" w:cs="Times New Roman"/>
      <w:kern w:val="2"/>
      <w:sz w:val="18"/>
      <w:szCs w:val="18"/>
      <w:lang w:val="en-US" w:eastAsia="zh-CN" w:bidi="ar-SA"/>
    </w:rPr>
  </w:style>
  <w:style w:type="character" w:customStyle="1" w:styleId="38">
    <w:name w:val="NormalCharacter"/>
    <w:semiHidden/>
    <w:qFormat/>
    <w:uiPriority w:val="99"/>
  </w:style>
  <w:style w:type="character" w:customStyle="1" w:styleId="39">
    <w:name w:val="html_txt1"/>
    <w:qFormat/>
    <w:uiPriority w:val="0"/>
    <w:rPr>
      <w:color w:val="000000"/>
    </w:rPr>
  </w:style>
  <w:style w:type="paragraph" w:customStyle="1" w:styleId="40">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41">
    <w:name w:val="Char Char Char Char Char Char Char"/>
    <w:basedOn w:val="1"/>
    <w:qFormat/>
    <w:uiPriority w:val="0"/>
    <w:pPr>
      <w:tabs>
        <w:tab w:val="left" w:pos="1723"/>
      </w:tabs>
      <w:ind w:left="1723" w:hanging="1080"/>
    </w:pPr>
    <w:rPr>
      <w:rFonts w:eastAsia="仿宋_GB2312"/>
      <w:sz w:val="24"/>
    </w:rPr>
  </w:style>
  <w:style w:type="paragraph" w:customStyle="1" w:styleId="42">
    <w:name w:val="正文1"/>
    <w:qFormat/>
    <w:uiPriority w:val="0"/>
    <w:pPr>
      <w:jc w:val="both"/>
    </w:pPr>
    <w:rPr>
      <w:rFonts w:ascii="Calibri" w:hAnsi="Calibri" w:eastAsia="宋体" w:cs="Times New Roman"/>
      <w:kern w:val="2"/>
      <w:sz w:val="21"/>
      <w:szCs w:val="21"/>
      <w:lang w:val="en-US" w:eastAsia="zh-CN" w:bidi="ar-SA"/>
    </w:rPr>
  </w:style>
  <w:style w:type="paragraph" w:customStyle="1" w:styleId="43">
    <w:name w:val="Char"/>
    <w:basedOn w:val="1"/>
    <w:qFormat/>
    <w:uiPriority w:val="0"/>
    <w:rPr>
      <w:rFonts w:ascii="Tahoma" w:hAnsi="Tahoma" w:cs="Tahoma"/>
      <w:sz w:val="24"/>
    </w:rPr>
  </w:style>
  <w:style w:type="paragraph" w:customStyle="1" w:styleId="44">
    <w:name w:val="p0"/>
    <w:basedOn w:val="1"/>
    <w:qFormat/>
    <w:uiPriority w:val="0"/>
    <w:pPr>
      <w:widowControl/>
    </w:pPr>
    <w:rPr>
      <w:rFonts w:cs="宋体"/>
      <w:kern w:val="0"/>
      <w:szCs w:val="21"/>
    </w:rPr>
  </w:style>
  <w:style w:type="paragraph" w:customStyle="1" w:styleId="45">
    <w:name w:val="列出段落1"/>
    <w:basedOn w:val="1"/>
    <w:qFormat/>
    <w:uiPriority w:val="0"/>
    <w:pPr>
      <w:ind w:firstLine="420" w:firstLineChars="200"/>
    </w:pPr>
    <w:rPr>
      <w:szCs w:val="22"/>
    </w:rPr>
  </w:style>
  <w:style w:type="paragraph" w:customStyle="1" w:styleId="46">
    <w:name w:val="_Style 1"/>
    <w:basedOn w:val="1"/>
    <w:qFormat/>
    <w:uiPriority w:val="0"/>
    <w:pPr>
      <w:ind w:firstLine="420" w:firstLineChars="200"/>
    </w:pPr>
    <w:rPr>
      <w:szCs w:val="22"/>
    </w:rPr>
  </w:style>
  <w:style w:type="paragraph" w:customStyle="1" w:styleId="47">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48">
    <w:name w:val="List Paragraph1"/>
    <w:basedOn w:val="1"/>
    <w:qFormat/>
    <w:uiPriority w:val="0"/>
    <w:pPr>
      <w:ind w:firstLine="420" w:firstLineChars="200"/>
    </w:pPr>
    <w:rPr>
      <w:szCs w:val="22"/>
    </w:rPr>
  </w:style>
  <w:style w:type="paragraph" w:styleId="49">
    <w:name w:val="List Paragraph"/>
    <w:basedOn w:val="1"/>
    <w:qFormat/>
    <w:uiPriority w:val="0"/>
    <w:pPr>
      <w:ind w:firstLine="420" w:firstLineChars="200"/>
    </w:pPr>
  </w:style>
  <w:style w:type="paragraph" w:customStyle="1" w:styleId="50">
    <w:name w:val="No Spacing1"/>
    <w:qFormat/>
    <w:uiPriority w:val="0"/>
    <w:pPr>
      <w:widowControl w:val="0"/>
      <w:jc w:val="both"/>
    </w:pPr>
    <w:rPr>
      <w:rFonts w:ascii="Calibri" w:hAnsi="Calibri" w:eastAsia="宋体" w:cs="Times New Roman"/>
      <w:kern w:val="2"/>
      <w:sz w:val="21"/>
      <w:szCs w:val="22"/>
      <w:lang w:val="en-US" w:eastAsia="zh-CN" w:bidi="ar-SA"/>
    </w:rPr>
  </w:style>
  <w:style w:type="character" w:customStyle="1" w:styleId="51">
    <w:name w:val=" Char Char1"/>
    <w:basedOn w:val="17"/>
    <w:qFormat/>
    <w:uiPriority w:val="0"/>
    <w:rPr>
      <w:rFonts w:eastAsia="宋体"/>
      <w:kern w:val="2"/>
      <w:sz w:val="18"/>
      <w:szCs w:val="18"/>
      <w:lang w:val="en-US" w:eastAsia="zh-CN" w:bidi="ar-SA"/>
    </w:rPr>
  </w:style>
  <w:style w:type="character" w:customStyle="1" w:styleId="52">
    <w:name w:val="Plain Text Char1"/>
    <w:qFormat/>
    <w:locked/>
    <w:uiPriority w:val="0"/>
    <w:rPr>
      <w:rFonts w:ascii="宋体" w:hAnsi="Courier New" w:eastAsia="宋体"/>
      <w:kern w:val="2"/>
      <w:sz w:val="21"/>
      <w:lang w:val="en-US" w:eastAsia="zh-CN"/>
    </w:rPr>
  </w:style>
  <w:style w:type="character" w:customStyle="1" w:styleId="53">
    <w:name w:val="Footer Char1"/>
    <w:qFormat/>
    <w:locked/>
    <w:uiPriority w:val="0"/>
    <w:rPr>
      <w:rFonts w:eastAsia="宋体"/>
      <w:kern w:val="2"/>
      <w:sz w:val="18"/>
      <w:lang w:val="en-US" w:eastAsia="zh-CN"/>
    </w:rPr>
  </w:style>
  <w:style w:type="character" w:customStyle="1" w:styleId="54">
    <w:name w:val="页脚 Char1"/>
    <w:qFormat/>
    <w:uiPriority w:val="0"/>
    <w:rPr>
      <w:rFonts w:eastAsia="宋体"/>
      <w:kern w:val="2"/>
      <w:sz w:val="18"/>
      <w:szCs w:val="18"/>
      <w:lang w:val="en-US" w:eastAsia="zh-CN" w:bidi="ar-SA"/>
    </w:rPr>
  </w:style>
  <w:style w:type="paragraph" w:customStyle="1" w:styleId="55">
    <w:name w:val="p_text_indent_2"/>
    <w:basedOn w:val="1"/>
    <w:qFormat/>
    <w:uiPriority w:val="0"/>
    <w:pPr>
      <w:widowControl/>
      <w:spacing w:before="100" w:beforeAutospacing="1" w:after="100" w:afterAutospacing="1"/>
      <w:jc w:val="left"/>
    </w:pPr>
    <w:rPr>
      <w:rFonts w:ascii="宋体" w:hAnsi="宋体" w:cs="宋体"/>
      <w:kern w:val="0"/>
      <w:sz w:val="24"/>
    </w:rPr>
  </w:style>
  <w:style w:type="character" w:customStyle="1" w:styleId="56">
    <w:name w:val="正文文本 Char"/>
    <w:basedOn w:val="17"/>
    <w:link w:val="6"/>
    <w:qFormat/>
    <w:uiPriority w:val="0"/>
    <w:rPr>
      <w:rFonts w:ascii="Calibri" w:hAnsi="Calibri" w:eastAsia="宋体"/>
      <w:kern w:val="2"/>
      <w:sz w:val="21"/>
      <w:szCs w:val="24"/>
      <w:lang w:val="en-US" w:eastAsia="zh-CN" w:bidi="ar-SA"/>
    </w:rPr>
  </w:style>
  <w:style w:type="paragraph" w:styleId="57">
    <w:name w:val="No Spacing"/>
    <w:qFormat/>
    <w:uiPriority w:val="0"/>
    <w:pPr>
      <w:adjustRightInd w:val="0"/>
      <w:snapToGrid w:val="0"/>
    </w:pPr>
    <w:rPr>
      <w:rFonts w:ascii="Tahoma" w:hAnsi="Tahoma" w:eastAsia="微软雅黑" w:cs="Times New Roman"/>
      <w:sz w:val="22"/>
      <w:szCs w:val="22"/>
      <w:lang w:val="en-US" w:eastAsia="zh-CN" w:bidi="ar-SA"/>
    </w:rPr>
  </w:style>
  <w:style w:type="paragraph" w:customStyle="1" w:styleId="58">
    <w:name w:val="p"/>
    <w:basedOn w:val="1"/>
    <w:qFormat/>
    <w:uiPriority w:val="0"/>
    <w:pPr>
      <w:widowControl/>
      <w:spacing w:before="100" w:beforeAutospacing="1" w:after="100" w:afterAutospacing="1"/>
      <w:jc w:val="left"/>
    </w:pPr>
    <w:rPr>
      <w:rFonts w:ascii="Times New Roman" w:hAnsi="Times New Roman"/>
      <w:kern w:val="0"/>
      <w:sz w:val="24"/>
      <w:szCs w:val="22"/>
    </w:rPr>
  </w:style>
  <w:style w:type="character" w:customStyle="1" w:styleId="59">
    <w:name w:val="Comment Text Char"/>
    <w:basedOn w:val="17"/>
    <w:semiHidden/>
    <w:qFormat/>
    <w:locked/>
    <w:uiPriority w:val="0"/>
    <w:rPr>
      <w:rFonts w:ascii="??" w:hAns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1124</Words>
  <Characters>6413</Characters>
  <Lines>53</Lines>
  <Paragraphs>15</Paragraphs>
  <TotalTime>2</TotalTime>
  <ScaleCrop>false</ScaleCrop>
  <LinksUpToDate>false</LinksUpToDate>
  <CharactersWithSpaces>7522</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2022-05-16T01:32:00Z</dcterms:created>
  <dc:creator>USER</dc:creator>
  <cp:lastModifiedBy>丹</cp:lastModifiedBy>
  <cp:lastPrinted>2022-04-27T03:21:00Z</cp:lastPrinted>
  <dcterms:modified xsi:type="dcterms:W3CDTF">2022-05-17T02:12:26Z</dcterms:modified>
  <dc:title>院政发[2013]1号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y fmtid="{D5CDD505-2E9C-101B-9397-08002B2CF9AE}" pid="3" name="ICV">
    <vt:lpwstr>281905924A114A8A9FDDFFA525E619E3</vt:lpwstr>
  </property>
</Properties>
</file>