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7E0EE">
      <w:pPr>
        <w:pStyle w:val="2"/>
        <w:spacing w:before="0" w:after="0"/>
        <w:jc w:val="center"/>
        <w:rPr>
          <w:rFonts w:hint="eastAsia" w:ascii="Cambria" w:hAnsi="Cambria" w:eastAsia="宋体" w:cs="Times New Roman"/>
          <w:b/>
          <w:kern w:val="0"/>
          <w:sz w:val="32"/>
          <w:szCs w:val="32"/>
          <w:lang w:val="en-US" w:eastAsia="zh-CN" w:bidi="ar-SA"/>
        </w:rPr>
      </w:pPr>
      <w:r>
        <w:rPr>
          <w:rFonts w:hint="eastAsia"/>
          <w:sz w:val="36"/>
          <w:szCs w:val="36"/>
          <w:lang w:eastAsia="zh-CN"/>
        </w:rPr>
        <w:t xml:space="preserve"> </w:t>
      </w:r>
      <w:r>
        <w:rPr>
          <w:rFonts w:hint="eastAsia" w:cs="Times New Roman"/>
          <w:b/>
          <w:kern w:val="0"/>
          <w:sz w:val="32"/>
          <w:szCs w:val="32"/>
          <w:lang w:val="en-US" w:eastAsia="zh-CN" w:bidi="ar-SA"/>
        </w:rPr>
        <w:t>齐齐哈尔医</w:t>
      </w:r>
      <w:r>
        <w:rPr>
          <w:rFonts w:hint="eastAsia" w:ascii="Cambria" w:hAnsi="Cambria" w:eastAsia="宋体" w:cs="Times New Roman"/>
          <w:b/>
          <w:kern w:val="0"/>
          <w:sz w:val="32"/>
          <w:szCs w:val="32"/>
          <w:lang w:val="en-US" w:eastAsia="zh-CN" w:bidi="ar-SA"/>
        </w:rPr>
        <w:t>学院第</w:t>
      </w:r>
      <w:r>
        <w:rPr>
          <w:rFonts w:hint="eastAsia" w:cs="Times New Roman"/>
          <w:b/>
          <w:kern w:val="0"/>
          <w:sz w:val="32"/>
          <w:szCs w:val="32"/>
          <w:lang w:val="en-US" w:eastAsia="zh-CN" w:bidi="ar-SA"/>
        </w:rPr>
        <w:t>八</w:t>
      </w:r>
      <w:r>
        <w:rPr>
          <w:rFonts w:hint="eastAsia" w:ascii="Cambria" w:hAnsi="Cambria" w:eastAsia="宋体" w:cs="Times New Roman"/>
          <w:b/>
          <w:kern w:val="0"/>
          <w:sz w:val="32"/>
          <w:szCs w:val="32"/>
          <w:lang w:val="en-US" w:eastAsia="zh-CN" w:bidi="ar-SA"/>
        </w:rPr>
        <w:t>届“南丁格尔杯”护理礼仪与沟通大赛</w:t>
      </w:r>
    </w:p>
    <w:p w14:paraId="170A6FF5">
      <w:pPr>
        <w:pStyle w:val="2"/>
        <w:spacing w:before="0" w:after="0"/>
        <w:jc w:val="center"/>
        <w:rPr>
          <w:rFonts w:ascii="宋体" w:hAnsi="宋体" w:cs="宋体"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Cs/>
          <w:sz w:val="32"/>
          <w:szCs w:val="32"/>
          <w:lang w:eastAsia="zh-CN"/>
        </w:rPr>
        <w:t>护理沟通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情景剧剧本设计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大赛评分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表</w:t>
      </w:r>
    </w:p>
    <w:p w14:paraId="4E26E30B">
      <w:pPr>
        <w:ind w:firstLine="281" w:firstLineChars="100"/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参赛队伍：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 xml:space="preserve">              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           得分：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                                                                                                                   </w:t>
      </w:r>
    </w:p>
    <w:tbl>
      <w:tblPr>
        <w:tblStyle w:val="5"/>
        <w:tblpPr w:leftFromText="180" w:rightFromText="180" w:vertAnchor="page" w:horzAnchor="margin" w:tblpXSpec="center" w:tblpY="2963"/>
        <w:tblW w:w="878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269"/>
        <w:gridCol w:w="5074"/>
        <w:gridCol w:w="752"/>
        <w:gridCol w:w="850"/>
      </w:tblGrid>
      <w:tr w14:paraId="4C875D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43" w:type="dxa"/>
            <w:vAlign w:val="center"/>
          </w:tcPr>
          <w:p w14:paraId="559B877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1269" w:type="dxa"/>
            <w:vAlign w:val="center"/>
          </w:tcPr>
          <w:p w14:paraId="584D3C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考核内容</w:t>
            </w:r>
          </w:p>
        </w:tc>
        <w:tc>
          <w:tcPr>
            <w:tcW w:w="5074" w:type="dxa"/>
            <w:vAlign w:val="center"/>
          </w:tcPr>
          <w:p w14:paraId="6C836E1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具体内容</w:t>
            </w:r>
          </w:p>
        </w:tc>
        <w:tc>
          <w:tcPr>
            <w:tcW w:w="752" w:type="dxa"/>
            <w:vAlign w:val="center"/>
          </w:tcPr>
          <w:p w14:paraId="187D8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标准分</w:t>
            </w:r>
          </w:p>
        </w:tc>
        <w:tc>
          <w:tcPr>
            <w:tcW w:w="850" w:type="dxa"/>
            <w:vAlign w:val="center"/>
          </w:tcPr>
          <w:p w14:paraId="28B0C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扣分</w:t>
            </w:r>
          </w:p>
        </w:tc>
      </w:tr>
      <w:tr w14:paraId="69EE8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43" w:type="dxa"/>
            <w:vMerge w:val="restart"/>
            <w:vAlign w:val="center"/>
          </w:tcPr>
          <w:p w14:paraId="7B8B452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剧本</w:t>
            </w:r>
          </w:p>
          <w:p w14:paraId="3B3794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设计</w:t>
            </w:r>
          </w:p>
          <w:p w14:paraId="118BD4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100分</w:t>
            </w:r>
          </w:p>
        </w:tc>
        <w:tc>
          <w:tcPr>
            <w:tcW w:w="1269" w:type="dxa"/>
            <w:vMerge w:val="restart"/>
            <w:vAlign w:val="center"/>
          </w:tcPr>
          <w:p w14:paraId="2442191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</w:t>
            </w:r>
          </w:p>
          <w:p w14:paraId="4A6B9C6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题</w:t>
            </w:r>
          </w:p>
          <w:p w14:paraId="5E3313E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内</w:t>
            </w:r>
          </w:p>
          <w:p w14:paraId="259CCDB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容</w:t>
            </w:r>
          </w:p>
        </w:tc>
        <w:tc>
          <w:tcPr>
            <w:tcW w:w="5074" w:type="dxa"/>
            <w:vAlign w:val="center"/>
          </w:tcPr>
          <w:p w14:paraId="68ABF66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剧本主题鲜明</w:t>
            </w:r>
          </w:p>
        </w:tc>
        <w:tc>
          <w:tcPr>
            <w:tcW w:w="752" w:type="dxa"/>
            <w:vAlign w:val="center"/>
          </w:tcPr>
          <w:p w14:paraId="577FC9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782EDBE3">
            <w:pPr>
              <w:jc w:val="center"/>
            </w:pPr>
          </w:p>
        </w:tc>
      </w:tr>
      <w:tr w14:paraId="753456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43" w:type="dxa"/>
            <w:vMerge w:val="continue"/>
            <w:vAlign w:val="center"/>
          </w:tcPr>
          <w:p w14:paraId="5BD6257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2C00D600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07CC14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内容积极向上</w:t>
            </w:r>
          </w:p>
        </w:tc>
        <w:tc>
          <w:tcPr>
            <w:tcW w:w="752" w:type="dxa"/>
            <w:vAlign w:val="center"/>
          </w:tcPr>
          <w:p w14:paraId="7FBDB5B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69A7C1EA">
            <w:pPr>
              <w:jc w:val="center"/>
            </w:pPr>
          </w:p>
        </w:tc>
      </w:tr>
      <w:tr w14:paraId="4CC184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3" w:type="dxa"/>
            <w:vMerge w:val="continue"/>
            <w:vAlign w:val="center"/>
          </w:tcPr>
          <w:p w14:paraId="0C6AC2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57A42639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62DE06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剧本创作贴近护理工作实景</w:t>
            </w:r>
          </w:p>
        </w:tc>
        <w:tc>
          <w:tcPr>
            <w:tcW w:w="752" w:type="dxa"/>
            <w:vAlign w:val="center"/>
          </w:tcPr>
          <w:p w14:paraId="0BEF2C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30D1992A">
            <w:pPr>
              <w:jc w:val="center"/>
            </w:pPr>
          </w:p>
        </w:tc>
      </w:tr>
      <w:tr w14:paraId="422DDB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43" w:type="dxa"/>
            <w:vMerge w:val="continue"/>
            <w:vAlign w:val="center"/>
          </w:tcPr>
          <w:p w14:paraId="17FE676A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55D3A507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6580BB4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具有时代精神，彰显一定的职业观、价值观或人生观</w:t>
            </w:r>
          </w:p>
        </w:tc>
        <w:tc>
          <w:tcPr>
            <w:tcW w:w="752" w:type="dxa"/>
            <w:vAlign w:val="center"/>
          </w:tcPr>
          <w:p w14:paraId="6E0CEB2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6587556A">
            <w:pPr>
              <w:jc w:val="center"/>
            </w:pPr>
          </w:p>
        </w:tc>
      </w:tr>
      <w:tr w14:paraId="604F2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43" w:type="dxa"/>
            <w:vMerge w:val="continue"/>
            <w:vAlign w:val="center"/>
          </w:tcPr>
          <w:p w14:paraId="655EC07A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9" w:type="dxa"/>
            <w:vMerge w:val="restart"/>
            <w:vAlign w:val="center"/>
          </w:tcPr>
          <w:p w14:paraId="156DB11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语</w:t>
            </w:r>
          </w:p>
          <w:p w14:paraId="06567AF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言</w:t>
            </w:r>
          </w:p>
          <w:p w14:paraId="0D54B91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表</w:t>
            </w:r>
          </w:p>
          <w:p w14:paraId="2097D6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达</w:t>
            </w:r>
          </w:p>
        </w:tc>
        <w:tc>
          <w:tcPr>
            <w:tcW w:w="5074" w:type="dxa"/>
            <w:vAlign w:val="center"/>
          </w:tcPr>
          <w:p w14:paraId="305806D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语言规范、符合角色要求</w:t>
            </w:r>
          </w:p>
        </w:tc>
        <w:tc>
          <w:tcPr>
            <w:tcW w:w="752" w:type="dxa"/>
            <w:vAlign w:val="center"/>
          </w:tcPr>
          <w:p w14:paraId="485456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7DE88570">
            <w:pPr>
              <w:jc w:val="center"/>
            </w:pPr>
          </w:p>
        </w:tc>
      </w:tr>
      <w:tr w14:paraId="4B04F5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43" w:type="dxa"/>
            <w:vMerge w:val="continue"/>
            <w:vAlign w:val="center"/>
          </w:tcPr>
          <w:p w14:paraId="686B8EA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18E5D3EB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27F8BD7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各情景间，语言衔接有序</w:t>
            </w:r>
          </w:p>
        </w:tc>
        <w:tc>
          <w:tcPr>
            <w:tcW w:w="752" w:type="dxa"/>
            <w:vAlign w:val="center"/>
          </w:tcPr>
          <w:p w14:paraId="668622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63AC4D53">
            <w:pPr>
              <w:jc w:val="center"/>
            </w:pPr>
          </w:p>
        </w:tc>
      </w:tr>
      <w:tr w14:paraId="00C773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43" w:type="dxa"/>
            <w:vMerge w:val="continue"/>
            <w:vAlign w:val="center"/>
          </w:tcPr>
          <w:p w14:paraId="4209FBE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6F92B79B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67A2F41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语言表达清晰、流畅、逻辑严谨、说服力强</w:t>
            </w:r>
          </w:p>
        </w:tc>
        <w:tc>
          <w:tcPr>
            <w:tcW w:w="752" w:type="dxa"/>
            <w:vAlign w:val="center"/>
          </w:tcPr>
          <w:p w14:paraId="4794D5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01A3C92A">
            <w:pPr>
              <w:jc w:val="center"/>
            </w:pPr>
          </w:p>
        </w:tc>
      </w:tr>
      <w:tr w14:paraId="6D054C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43" w:type="dxa"/>
            <w:vMerge w:val="continue"/>
            <w:vAlign w:val="center"/>
          </w:tcPr>
          <w:p w14:paraId="649851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1A243AE4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486A18E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沟通技巧运用自如、对焦点问题和实质问题把握适度</w:t>
            </w:r>
          </w:p>
        </w:tc>
        <w:tc>
          <w:tcPr>
            <w:tcW w:w="752" w:type="dxa"/>
            <w:vAlign w:val="center"/>
          </w:tcPr>
          <w:p w14:paraId="196DE8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5963B379">
            <w:pPr>
              <w:jc w:val="center"/>
            </w:pPr>
          </w:p>
        </w:tc>
      </w:tr>
      <w:tr w14:paraId="6C45E2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43" w:type="dxa"/>
            <w:vMerge w:val="continue"/>
            <w:vAlign w:val="center"/>
          </w:tcPr>
          <w:p w14:paraId="387C69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restart"/>
            <w:vAlign w:val="center"/>
          </w:tcPr>
          <w:p w14:paraId="716F7FA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人</w:t>
            </w:r>
          </w:p>
          <w:p w14:paraId="2155B5CC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物</w:t>
            </w:r>
          </w:p>
          <w:p w14:paraId="71A80CF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刻</w:t>
            </w:r>
          </w:p>
          <w:p w14:paraId="3BDAB08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画</w:t>
            </w:r>
          </w:p>
        </w:tc>
        <w:tc>
          <w:tcPr>
            <w:tcW w:w="5074" w:type="dxa"/>
            <w:vAlign w:val="center"/>
          </w:tcPr>
          <w:p w14:paraId="1AF97C0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体现“以人为本”，注重描述医护人员的人文关怀</w:t>
            </w:r>
          </w:p>
        </w:tc>
        <w:tc>
          <w:tcPr>
            <w:tcW w:w="752" w:type="dxa"/>
            <w:vAlign w:val="center"/>
          </w:tcPr>
          <w:p w14:paraId="6201C1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45076FAD">
            <w:pPr>
              <w:jc w:val="center"/>
            </w:pPr>
          </w:p>
        </w:tc>
      </w:tr>
      <w:tr w14:paraId="029DB7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43" w:type="dxa"/>
            <w:vMerge w:val="continue"/>
            <w:vAlign w:val="center"/>
          </w:tcPr>
          <w:p w14:paraId="7ECDC16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25C859F6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0FABA37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人物形象鲜明，注重人物心理细节的刻画</w:t>
            </w:r>
          </w:p>
        </w:tc>
        <w:tc>
          <w:tcPr>
            <w:tcW w:w="752" w:type="dxa"/>
            <w:vAlign w:val="center"/>
          </w:tcPr>
          <w:p w14:paraId="01E8C09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13D288C0">
            <w:pPr>
              <w:jc w:val="center"/>
            </w:pPr>
          </w:p>
        </w:tc>
      </w:tr>
      <w:tr w14:paraId="7A3CF5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43" w:type="dxa"/>
            <w:vMerge w:val="continue"/>
            <w:vAlign w:val="center"/>
          </w:tcPr>
          <w:p w14:paraId="1B5A5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2676BDCD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6E5D82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人物语言和动作与其思想感情的起伏一致</w:t>
            </w:r>
          </w:p>
        </w:tc>
        <w:tc>
          <w:tcPr>
            <w:tcW w:w="752" w:type="dxa"/>
            <w:vAlign w:val="center"/>
          </w:tcPr>
          <w:p w14:paraId="61DC2C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02B0712F">
            <w:pPr>
              <w:jc w:val="center"/>
            </w:pPr>
          </w:p>
        </w:tc>
      </w:tr>
      <w:tr w14:paraId="019813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43" w:type="dxa"/>
            <w:vMerge w:val="continue"/>
            <w:vAlign w:val="center"/>
          </w:tcPr>
          <w:p w14:paraId="59EAB11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07221EBD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469FE25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人物关系设计缜密、合理</w:t>
            </w:r>
          </w:p>
        </w:tc>
        <w:tc>
          <w:tcPr>
            <w:tcW w:w="752" w:type="dxa"/>
            <w:vAlign w:val="center"/>
          </w:tcPr>
          <w:p w14:paraId="715DED8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42D78E23">
            <w:pPr>
              <w:jc w:val="center"/>
            </w:pPr>
          </w:p>
        </w:tc>
      </w:tr>
      <w:tr w14:paraId="6ABB2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43" w:type="dxa"/>
            <w:vMerge w:val="continue"/>
            <w:vAlign w:val="center"/>
          </w:tcPr>
          <w:p w14:paraId="699C892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restart"/>
            <w:vAlign w:val="center"/>
          </w:tcPr>
          <w:p w14:paraId="5C351E9C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故</w:t>
            </w:r>
          </w:p>
          <w:p w14:paraId="5CC62AE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事</w:t>
            </w:r>
          </w:p>
          <w:p w14:paraId="54DDCBDD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</w:p>
          <w:p w14:paraId="197CF5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节</w:t>
            </w:r>
          </w:p>
        </w:tc>
        <w:tc>
          <w:tcPr>
            <w:tcW w:w="5074" w:type="dxa"/>
            <w:vAlign w:val="center"/>
          </w:tcPr>
          <w:p w14:paraId="356A83E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情节编排自然流畅且紧凑</w:t>
            </w:r>
          </w:p>
        </w:tc>
        <w:tc>
          <w:tcPr>
            <w:tcW w:w="752" w:type="dxa"/>
            <w:vAlign w:val="center"/>
          </w:tcPr>
          <w:p w14:paraId="5A5C28E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26651CD9"/>
        </w:tc>
      </w:tr>
      <w:tr w14:paraId="2DAC8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43" w:type="dxa"/>
            <w:vMerge w:val="continue"/>
            <w:vAlign w:val="center"/>
          </w:tcPr>
          <w:p w14:paraId="42A063E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606B5973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4793DAF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情节设计合理、</w:t>
            </w:r>
            <w:r>
              <w:rPr>
                <w:rFonts w:hint="eastAsia"/>
                <w:bCs/>
                <w:szCs w:val="21"/>
              </w:rPr>
              <w:t>有始有终、不突兀</w:t>
            </w:r>
          </w:p>
        </w:tc>
        <w:tc>
          <w:tcPr>
            <w:tcW w:w="752" w:type="dxa"/>
            <w:vAlign w:val="center"/>
          </w:tcPr>
          <w:p w14:paraId="7B37A1F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6F0C36AA"/>
        </w:tc>
      </w:tr>
      <w:tr w14:paraId="4963F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43" w:type="dxa"/>
            <w:vMerge w:val="continue"/>
            <w:vAlign w:val="center"/>
          </w:tcPr>
          <w:p w14:paraId="4935BB0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21A86882">
            <w:pPr>
              <w:jc w:val="center"/>
              <w:rPr>
                <w:b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2F7BD0D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情节有波澜和起伏                                                 </w:t>
            </w:r>
          </w:p>
        </w:tc>
        <w:tc>
          <w:tcPr>
            <w:tcW w:w="752" w:type="dxa"/>
            <w:vAlign w:val="center"/>
          </w:tcPr>
          <w:p w14:paraId="440D795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3E14C48B"/>
        </w:tc>
      </w:tr>
      <w:tr w14:paraId="370E97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43" w:type="dxa"/>
            <w:vMerge w:val="continue"/>
            <w:vAlign w:val="center"/>
          </w:tcPr>
          <w:p w14:paraId="1E948A0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5E43B901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1EC0B60E">
            <w:pPr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情节设计具有感染力、吸引力和号召力</w:t>
            </w:r>
          </w:p>
        </w:tc>
        <w:tc>
          <w:tcPr>
            <w:tcW w:w="752" w:type="dxa"/>
            <w:vAlign w:val="center"/>
          </w:tcPr>
          <w:p w14:paraId="4717D29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6CC9E972"/>
        </w:tc>
      </w:tr>
      <w:tr w14:paraId="103157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43" w:type="dxa"/>
            <w:vMerge w:val="continue"/>
            <w:vAlign w:val="center"/>
          </w:tcPr>
          <w:p w14:paraId="69353A1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restart"/>
            <w:vAlign w:val="center"/>
          </w:tcPr>
          <w:p w14:paraId="53263C03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整</w:t>
            </w:r>
          </w:p>
          <w:p w14:paraId="420ED4F4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体</w:t>
            </w:r>
          </w:p>
          <w:p w14:paraId="4D0BD7BE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结</w:t>
            </w:r>
          </w:p>
          <w:p w14:paraId="188EDC2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构</w:t>
            </w:r>
          </w:p>
        </w:tc>
        <w:tc>
          <w:tcPr>
            <w:tcW w:w="5074" w:type="dxa"/>
            <w:vAlign w:val="center"/>
          </w:tcPr>
          <w:p w14:paraId="1237F4BE"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整体连贯顺畅、具有张力和点睛之笔</w:t>
            </w:r>
          </w:p>
        </w:tc>
        <w:tc>
          <w:tcPr>
            <w:tcW w:w="752" w:type="dxa"/>
            <w:vAlign w:val="center"/>
          </w:tcPr>
          <w:p w14:paraId="6BB163A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2029AFB1"/>
        </w:tc>
      </w:tr>
      <w:tr w14:paraId="243F4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43" w:type="dxa"/>
            <w:vMerge w:val="continue"/>
            <w:vAlign w:val="center"/>
          </w:tcPr>
          <w:p w14:paraId="4710C0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18B5CF19">
            <w:pPr>
              <w:rPr>
                <w:rFonts w:hint="eastAsia"/>
                <w:bCs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159C8C34"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szCs w:val="21"/>
              </w:rPr>
              <w:t>角色分工合理，重视团队合作，整体意识强</w:t>
            </w:r>
          </w:p>
        </w:tc>
        <w:tc>
          <w:tcPr>
            <w:tcW w:w="752" w:type="dxa"/>
            <w:vAlign w:val="center"/>
          </w:tcPr>
          <w:p w14:paraId="79248AF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1507010A"/>
        </w:tc>
      </w:tr>
      <w:tr w14:paraId="5C378E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43" w:type="dxa"/>
            <w:vMerge w:val="continue"/>
            <w:vAlign w:val="center"/>
          </w:tcPr>
          <w:p w14:paraId="4B8F1D1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480EF6F6">
            <w:pPr>
              <w:rPr>
                <w:rFonts w:hint="eastAsia"/>
                <w:bCs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1DD2CC91"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剧本结尾简洁有力，可设疑、可留悬念</w:t>
            </w:r>
          </w:p>
        </w:tc>
        <w:tc>
          <w:tcPr>
            <w:tcW w:w="752" w:type="dxa"/>
            <w:vAlign w:val="center"/>
          </w:tcPr>
          <w:p w14:paraId="334F163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2037688A"/>
        </w:tc>
      </w:tr>
      <w:tr w14:paraId="0EAFF7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43" w:type="dxa"/>
            <w:vMerge w:val="continue"/>
            <w:vAlign w:val="center"/>
          </w:tcPr>
          <w:p w14:paraId="280A174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 w14:paraId="420E4F80">
            <w:pPr>
              <w:rPr>
                <w:rFonts w:hint="eastAsia"/>
                <w:bCs/>
                <w:szCs w:val="21"/>
              </w:rPr>
            </w:pPr>
          </w:p>
        </w:tc>
        <w:tc>
          <w:tcPr>
            <w:tcW w:w="5074" w:type="dxa"/>
            <w:vAlign w:val="center"/>
          </w:tcPr>
          <w:p w14:paraId="2F9732A1"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剧本的代入感强                  </w:t>
            </w:r>
          </w:p>
        </w:tc>
        <w:tc>
          <w:tcPr>
            <w:tcW w:w="752" w:type="dxa"/>
            <w:vAlign w:val="center"/>
          </w:tcPr>
          <w:p w14:paraId="123D930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7EC43C45"/>
        </w:tc>
      </w:tr>
      <w:tr w14:paraId="5994C3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186" w:type="dxa"/>
            <w:gridSpan w:val="3"/>
            <w:vAlign w:val="center"/>
          </w:tcPr>
          <w:p w14:paraId="455D4C5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合  计</w:t>
            </w:r>
          </w:p>
        </w:tc>
        <w:tc>
          <w:tcPr>
            <w:tcW w:w="752" w:type="dxa"/>
            <w:vAlign w:val="center"/>
          </w:tcPr>
          <w:p w14:paraId="28DCFA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14:paraId="600EAE18"/>
        </w:tc>
      </w:tr>
    </w:tbl>
    <w:p w14:paraId="564DE91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</w:t>
      </w:r>
    </w:p>
    <w:p w14:paraId="2F43C1D4">
      <w:pPr>
        <w:jc w:val="center"/>
        <w:rPr>
          <w:rFonts w:hint="eastAsia"/>
          <w:b/>
          <w:bCs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                                    </w:t>
      </w:r>
      <w:r>
        <w:rPr>
          <w:rFonts w:hint="eastAsia"/>
          <w:b/>
          <w:bCs/>
          <w:sz w:val="24"/>
          <w:szCs w:val="24"/>
        </w:rPr>
        <w:t>评委签字：</w:t>
      </w:r>
      <w:r>
        <w:rPr>
          <w:rFonts w:hint="eastAsia"/>
          <w:b/>
          <w:bCs/>
          <w:sz w:val="24"/>
          <w:szCs w:val="24"/>
          <w:u w:val="single"/>
        </w:rPr>
        <w:t xml:space="preserve">            </w:t>
      </w:r>
    </w:p>
    <w:p w14:paraId="1DDFC617">
      <w:pPr>
        <w:jc w:val="center"/>
        <w:rPr>
          <w:rFonts w:hint="eastAsia"/>
          <w:b/>
          <w:bCs/>
          <w:sz w:val="24"/>
          <w:szCs w:val="24"/>
          <w:u w:val="single"/>
        </w:rPr>
      </w:pPr>
    </w:p>
    <w:p w14:paraId="320C4ECB">
      <w:pPr>
        <w:jc w:val="center"/>
        <w:rPr>
          <w:rFonts w:hint="eastAsia"/>
          <w:b/>
          <w:bCs/>
          <w:sz w:val="24"/>
          <w:szCs w:val="24"/>
          <w:u w:val="single"/>
        </w:rPr>
      </w:pPr>
    </w:p>
    <w:p w14:paraId="16926BEB">
      <w:pPr>
        <w:jc w:val="center"/>
        <w:rPr>
          <w:rFonts w:hint="eastAsia"/>
          <w:b/>
          <w:bCs/>
          <w:sz w:val="24"/>
          <w:szCs w:val="24"/>
          <w:u w:val="single"/>
        </w:rPr>
      </w:pPr>
    </w:p>
    <w:p w14:paraId="07E27E3D">
      <w:pPr>
        <w:jc w:val="both"/>
        <w:rPr>
          <w:rFonts w:hint="eastAsia"/>
          <w:b/>
          <w:bCs/>
          <w:sz w:val="24"/>
          <w:szCs w:val="24"/>
          <w:u w:val="single"/>
        </w:rPr>
      </w:pPr>
    </w:p>
    <w:sectPr>
      <w:headerReference r:id="rId3" w:type="default"/>
      <w:pgSz w:w="11906" w:h="16838"/>
      <w:pgMar w:top="1040" w:right="1746" w:bottom="698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DA89A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BE4"/>
    <w:rsid w:val="0001131D"/>
    <w:rsid w:val="00014F49"/>
    <w:rsid w:val="000358BA"/>
    <w:rsid w:val="00043D23"/>
    <w:rsid w:val="00061B69"/>
    <w:rsid w:val="00066753"/>
    <w:rsid w:val="000701BD"/>
    <w:rsid w:val="000A1588"/>
    <w:rsid w:val="000A3789"/>
    <w:rsid w:val="000D7A50"/>
    <w:rsid w:val="000E6B85"/>
    <w:rsid w:val="00113A97"/>
    <w:rsid w:val="001350E2"/>
    <w:rsid w:val="00162DB4"/>
    <w:rsid w:val="0017124C"/>
    <w:rsid w:val="00174C84"/>
    <w:rsid w:val="0017766D"/>
    <w:rsid w:val="00195D77"/>
    <w:rsid w:val="001C3962"/>
    <w:rsid w:val="00200C10"/>
    <w:rsid w:val="00235347"/>
    <w:rsid w:val="00264EBE"/>
    <w:rsid w:val="002769E8"/>
    <w:rsid w:val="002A2CE3"/>
    <w:rsid w:val="002C0FD6"/>
    <w:rsid w:val="00303440"/>
    <w:rsid w:val="00336106"/>
    <w:rsid w:val="003A1F11"/>
    <w:rsid w:val="003C098B"/>
    <w:rsid w:val="003F0365"/>
    <w:rsid w:val="003F2477"/>
    <w:rsid w:val="00411B89"/>
    <w:rsid w:val="00420B09"/>
    <w:rsid w:val="00494146"/>
    <w:rsid w:val="004B4A96"/>
    <w:rsid w:val="005361AB"/>
    <w:rsid w:val="00536E5E"/>
    <w:rsid w:val="0055791C"/>
    <w:rsid w:val="00571D32"/>
    <w:rsid w:val="00593E53"/>
    <w:rsid w:val="00594537"/>
    <w:rsid w:val="005973B2"/>
    <w:rsid w:val="006769A2"/>
    <w:rsid w:val="006804C6"/>
    <w:rsid w:val="006815A0"/>
    <w:rsid w:val="007224DB"/>
    <w:rsid w:val="007C303A"/>
    <w:rsid w:val="007F4CF6"/>
    <w:rsid w:val="00853BE4"/>
    <w:rsid w:val="00886D65"/>
    <w:rsid w:val="00886EF0"/>
    <w:rsid w:val="008D41A2"/>
    <w:rsid w:val="008D5EC2"/>
    <w:rsid w:val="008E4BA6"/>
    <w:rsid w:val="0090001D"/>
    <w:rsid w:val="00917ED7"/>
    <w:rsid w:val="00967EB3"/>
    <w:rsid w:val="00992E00"/>
    <w:rsid w:val="009B147B"/>
    <w:rsid w:val="009C1D18"/>
    <w:rsid w:val="009C5551"/>
    <w:rsid w:val="009F003E"/>
    <w:rsid w:val="00A5025C"/>
    <w:rsid w:val="00A811FB"/>
    <w:rsid w:val="00A94F0C"/>
    <w:rsid w:val="00A97FD4"/>
    <w:rsid w:val="00AD6C70"/>
    <w:rsid w:val="00AE1AA2"/>
    <w:rsid w:val="00B36942"/>
    <w:rsid w:val="00B418B9"/>
    <w:rsid w:val="00B93AF4"/>
    <w:rsid w:val="00BC1168"/>
    <w:rsid w:val="00BC61A4"/>
    <w:rsid w:val="00BE393F"/>
    <w:rsid w:val="00BF4E60"/>
    <w:rsid w:val="00C23841"/>
    <w:rsid w:val="00C856F2"/>
    <w:rsid w:val="00CB741B"/>
    <w:rsid w:val="00CF5258"/>
    <w:rsid w:val="00D16A97"/>
    <w:rsid w:val="00D57998"/>
    <w:rsid w:val="00D828D9"/>
    <w:rsid w:val="00D9701B"/>
    <w:rsid w:val="00DA38D4"/>
    <w:rsid w:val="00DF3D34"/>
    <w:rsid w:val="00E06DC1"/>
    <w:rsid w:val="00E0702F"/>
    <w:rsid w:val="00E7134F"/>
    <w:rsid w:val="00EA22E0"/>
    <w:rsid w:val="00F4357C"/>
    <w:rsid w:val="00F6169F"/>
    <w:rsid w:val="00F9058D"/>
    <w:rsid w:val="00FA2BF6"/>
    <w:rsid w:val="00FA5F2D"/>
    <w:rsid w:val="01AC6D30"/>
    <w:rsid w:val="03981846"/>
    <w:rsid w:val="03AC1DA9"/>
    <w:rsid w:val="03B8134E"/>
    <w:rsid w:val="04CC293B"/>
    <w:rsid w:val="059D0D45"/>
    <w:rsid w:val="05DF4D0D"/>
    <w:rsid w:val="062C4F30"/>
    <w:rsid w:val="064518C2"/>
    <w:rsid w:val="06946583"/>
    <w:rsid w:val="07B04F2D"/>
    <w:rsid w:val="085E5F07"/>
    <w:rsid w:val="09E8015D"/>
    <w:rsid w:val="0BA631FC"/>
    <w:rsid w:val="0BB23DF0"/>
    <w:rsid w:val="0C3843E9"/>
    <w:rsid w:val="0CB3425E"/>
    <w:rsid w:val="0D406512"/>
    <w:rsid w:val="0FC0442F"/>
    <w:rsid w:val="12053CB5"/>
    <w:rsid w:val="12BD0F5A"/>
    <w:rsid w:val="1555793F"/>
    <w:rsid w:val="158E74F0"/>
    <w:rsid w:val="15BB5022"/>
    <w:rsid w:val="177C2881"/>
    <w:rsid w:val="185275C1"/>
    <w:rsid w:val="19740708"/>
    <w:rsid w:val="1BB64137"/>
    <w:rsid w:val="1C5E3024"/>
    <w:rsid w:val="1CC83B6A"/>
    <w:rsid w:val="1CD869F7"/>
    <w:rsid w:val="1DAE3FC6"/>
    <w:rsid w:val="1F267336"/>
    <w:rsid w:val="1F9E6D0C"/>
    <w:rsid w:val="20065CCE"/>
    <w:rsid w:val="21A40B2D"/>
    <w:rsid w:val="21F92577"/>
    <w:rsid w:val="247A3EE3"/>
    <w:rsid w:val="24BF0610"/>
    <w:rsid w:val="254F62FE"/>
    <w:rsid w:val="25B051A0"/>
    <w:rsid w:val="25E33756"/>
    <w:rsid w:val="261A499E"/>
    <w:rsid w:val="28C22586"/>
    <w:rsid w:val="290D571F"/>
    <w:rsid w:val="296E724E"/>
    <w:rsid w:val="2A447125"/>
    <w:rsid w:val="2C370B94"/>
    <w:rsid w:val="2C675AF8"/>
    <w:rsid w:val="2CCF00A8"/>
    <w:rsid w:val="2D58095B"/>
    <w:rsid w:val="2D7549AD"/>
    <w:rsid w:val="2ECE5F31"/>
    <w:rsid w:val="2EDB7A18"/>
    <w:rsid w:val="2FFE3062"/>
    <w:rsid w:val="305436AA"/>
    <w:rsid w:val="309520D7"/>
    <w:rsid w:val="31636FEF"/>
    <w:rsid w:val="32205954"/>
    <w:rsid w:val="36671965"/>
    <w:rsid w:val="38624277"/>
    <w:rsid w:val="39347D2F"/>
    <w:rsid w:val="39B63612"/>
    <w:rsid w:val="39F32CFC"/>
    <w:rsid w:val="3ACD7CF2"/>
    <w:rsid w:val="3B312560"/>
    <w:rsid w:val="3BAA0CC1"/>
    <w:rsid w:val="3C1B2260"/>
    <w:rsid w:val="3CEC65A4"/>
    <w:rsid w:val="3D5E76A5"/>
    <w:rsid w:val="3E3D4375"/>
    <w:rsid w:val="3E955C48"/>
    <w:rsid w:val="3F205D9A"/>
    <w:rsid w:val="41BB0193"/>
    <w:rsid w:val="44457BD1"/>
    <w:rsid w:val="45185B50"/>
    <w:rsid w:val="45462DBC"/>
    <w:rsid w:val="45A61038"/>
    <w:rsid w:val="461D6C58"/>
    <w:rsid w:val="4ADF10F9"/>
    <w:rsid w:val="4C3618D5"/>
    <w:rsid w:val="4DA22870"/>
    <w:rsid w:val="4E9B34BD"/>
    <w:rsid w:val="4EED6173"/>
    <w:rsid w:val="503D3243"/>
    <w:rsid w:val="50454147"/>
    <w:rsid w:val="5148097F"/>
    <w:rsid w:val="51853F36"/>
    <w:rsid w:val="51F616F6"/>
    <w:rsid w:val="52AC3B1F"/>
    <w:rsid w:val="52F35E70"/>
    <w:rsid w:val="56456AA7"/>
    <w:rsid w:val="56B73DC6"/>
    <w:rsid w:val="581843E6"/>
    <w:rsid w:val="5A674BF1"/>
    <w:rsid w:val="5AAD1CE2"/>
    <w:rsid w:val="5B052699"/>
    <w:rsid w:val="5B2D505B"/>
    <w:rsid w:val="5E9F5916"/>
    <w:rsid w:val="610D0419"/>
    <w:rsid w:val="62174FB9"/>
    <w:rsid w:val="63E75E8C"/>
    <w:rsid w:val="64E35E5B"/>
    <w:rsid w:val="66906384"/>
    <w:rsid w:val="68A836B6"/>
    <w:rsid w:val="68CA0321"/>
    <w:rsid w:val="6A0B6CD5"/>
    <w:rsid w:val="6A4E4044"/>
    <w:rsid w:val="6D2D310C"/>
    <w:rsid w:val="6DA92998"/>
    <w:rsid w:val="6E721CFF"/>
    <w:rsid w:val="6FBD7D1D"/>
    <w:rsid w:val="738A0046"/>
    <w:rsid w:val="74BE4C94"/>
    <w:rsid w:val="74D956EF"/>
    <w:rsid w:val="74DB5BA4"/>
    <w:rsid w:val="760C21C1"/>
    <w:rsid w:val="76C50E26"/>
    <w:rsid w:val="77B83069"/>
    <w:rsid w:val="77E02CB9"/>
    <w:rsid w:val="77E2641B"/>
    <w:rsid w:val="7968385A"/>
    <w:rsid w:val="79C11A82"/>
    <w:rsid w:val="7AF33FC4"/>
    <w:rsid w:val="7B36342D"/>
    <w:rsid w:val="7E0513FF"/>
    <w:rsid w:val="7E9F0720"/>
    <w:rsid w:val="7F486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locked/>
    <w:uiPriority w:val="99"/>
    <w:pPr>
      <w:keepNext/>
      <w:widowControl/>
      <w:spacing w:before="240" w:after="60"/>
      <w:jc w:val="left"/>
      <w:outlineLvl w:val="2"/>
    </w:pPr>
    <w:rPr>
      <w:rFonts w:ascii="Cambria" w:hAnsi="Cambria"/>
      <w:b/>
      <w:kern w:val="0"/>
      <w:sz w:val="26"/>
      <w:szCs w:val="20"/>
      <w:lang w:eastAsia="en-US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ing 3 Char"/>
    <w:basedOn w:val="7"/>
    <w:link w:val="2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9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3 Char"/>
    <w:link w:val="2"/>
    <w:qFormat/>
    <w:locked/>
    <w:uiPriority w:val="99"/>
    <w:rPr>
      <w:rFonts w:ascii="Cambria" w:hAnsi="Cambria" w:eastAsia="宋体"/>
      <w:b/>
      <w:sz w:val="26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4455</Words>
  <Characters>4510</Characters>
  <Lines>6</Lines>
  <Paragraphs>1</Paragraphs>
  <TotalTime>0</TotalTime>
  <ScaleCrop>false</ScaleCrop>
  <LinksUpToDate>false</LinksUpToDate>
  <CharactersWithSpaces>7723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2012-05-28T06:48:00Z</dcterms:created>
  <dc:creator>微软用户</dc:creator>
  <cp:lastModifiedBy>8237476420</cp:lastModifiedBy>
  <dcterms:modified xsi:type="dcterms:W3CDTF">2025-04-07T06:34:57Z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EDA316A01F4744989D8B417D3D73CB24_13</vt:lpwstr>
  </property>
  <property fmtid="{D5CDD505-2E9C-101B-9397-08002B2CF9AE}" pid="4" name="KSOTemplateDocerSaveRecord">
    <vt:lpwstr>eyJoZGlkIjoiZTBjZTY3NzdmOTVmM2I3NWI1ZWM0Mzg0OGVjNjU0MTAiLCJ1c2VySWQiOiIxNjQ5MjQ3NDYxIn0=</vt:lpwstr>
  </property>
</Properties>
</file>