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sz w:val="32"/>
          <w:szCs w:val="32"/>
        </w:rPr>
      </w:pPr>
      <w:bookmarkStart w:id="0" w:name="_GoBack"/>
      <w:bookmarkEnd w:id="0"/>
      <w:r>
        <w:rPr>
          <w:rFonts w:hint="eastAsia" w:ascii="黑体" w:hAnsi="黑体" w:eastAsia="黑体"/>
          <w:sz w:val="32"/>
          <w:szCs w:val="32"/>
        </w:rPr>
        <w:t>附件：</w:t>
      </w:r>
    </w:p>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齐齐哈尔医学院学位评定委员会章程（修订）</w:t>
      </w:r>
    </w:p>
    <w:p>
      <w:pPr>
        <w:spacing w:line="700" w:lineRule="exact"/>
        <w:jc w:val="center"/>
        <w:rPr>
          <w:rFonts w:hint="eastAsia" w:ascii="方正小标宋简体" w:hAnsi="方正小标宋简体" w:eastAsia="方正小标宋简体" w:cs="方正小标宋简体"/>
          <w:sz w:val="44"/>
          <w:szCs w:val="44"/>
        </w:rPr>
      </w:pPr>
    </w:p>
    <w:p>
      <w:pPr>
        <w:spacing w:line="360" w:lineRule="auto"/>
        <w:jc w:val="center"/>
        <w:rPr>
          <w:rFonts w:hint="eastAsia" w:ascii="黑体" w:hAnsi="黑体" w:eastAsia="黑体" w:cs="黑体"/>
          <w:sz w:val="32"/>
          <w:szCs w:val="32"/>
        </w:rPr>
      </w:pPr>
      <w:r>
        <w:rPr>
          <w:rFonts w:hint="eastAsia" w:ascii="黑体" w:hAnsi="黑体" w:eastAsia="黑体" w:cs="黑体"/>
          <w:sz w:val="32"/>
          <w:szCs w:val="32"/>
        </w:rPr>
        <w:t>第一章  总  则</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第一条</w:t>
      </w:r>
      <w:r>
        <w:rPr>
          <w:rFonts w:hint="eastAsia" w:ascii="仿宋_GB2312" w:hAnsi="仿宋" w:eastAsia="仿宋_GB2312" w:cs="仿宋"/>
          <w:sz w:val="32"/>
          <w:szCs w:val="32"/>
        </w:rPr>
        <w:t xml:space="preserve">  为全面贯彻党和国家的教育方针，指导学位工作建设，推动学位工作发展与改革，促进学院教育教学水平不断提高，根据《中华人民共和国学位条例》《中华人民共和国学位条例暂行实施办法》和《齐齐哈尔医学院章程》的有关规定修订本章程。</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第二条</w:t>
      </w:r>
      <w:r>
        <w:rPr>
          <w:rFonts w:hint="eastAsia" w:ascii="仿宋_GB2312" w:hAnsi="仿宋" w:eastAsia="仿宋_GB2312" w:cs="仿宋"/>
          <w:sz w:val="32"/>
          <w:szCs w:val="32"/>
        </w:rPr>
        <w:t xml:space="preserve">  学院学位委员会领导全院的学位工作，负责全院的学位点建设，在国家授权范围内负责全院学士、硕士二级学位的评定和授予工作，负责全院学位授予质量的评估。</w:t>
      </w:r>
    </w:p>
    <w:p>
      <w:pPr>
        <w:spacing w:line="360" w:lineRule="auto"/>
        <w:jc w:val="center"/>
        <w:rPr>
          <w:rFonts w:hint="eastAsia" w:ascii="黑体" w:hAnsi="黑体" w:eastAsia="黑体" w:cs="黑体"/>
          <w:sz w:val="32"/>
          <w:szCs w:val="32"/>
        </w:rPr>
      </w:pPr>
      <w:r>
        <w:rPr>
          <w:rFonts w:hint="eastAsia" w:ascii="黑体" w:hAnsi="黑体" w:eastAsia="黑体" w:cs="黑体"/>
          <w:sz w:val="32"/>
          <w:szCs w:val="32"/>
        </w:rPr>
        <w:t>第二章  组织机构</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第三条</w:t>
      </w:r>
      <w:r>
        <w:rPr>
          <w:rFonts w:hint="eastAsia" w:ascii="仿宋_GB2312" w:hAnsi="仿宋" w:eastAsia="仿宋_GB2312" w:cs="仿宋"/>
          <w:sz w:val="32"/>
          <w:szCs w:val="32"/>
        </w:rPr>
        <w:t xml:space="preserve">  学院依法设立学位评定委员会。学位评定委员会分两级，分别为学院学位委员会和基层（二级学院、附属医院）学位评定分委员会。</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第四条</w:t>
      </w:r>
      <w:r>
        <w:rPr>
          <w:rFonts w:hint="eastAsia" w:ascii="仿宋_GB2312" w:hAnsi="仿宋" w:eastAsia="仿宋_GB2312" w:cs="仿宋"/>
          <w:sz w:val="32"/>
          <w:szCs w:val="32"/>
        </w:rPr>
        <w:t xml:space="preserve">  学院学位委员会设主席1人，副主席3～5人，委员人数一般不超过30人，委员中研究生导师应占半数以上。学院学位委员会主席由学院院长担任，副主席由主席提名，委员会成员应由基层学位评定分委员会主席，学科相关专家和学位相关的主管人员组成，并报黑龙江省学位委员会办公室备案。</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第五条</w:t>
      </w:r>
      <w:r>
        <w:rPr>
          <w:rFonts w:hint="eastAsia" w:ascii="仿宋_GB2312" w:hAnsi="仿宋" w:eastAsia="仿宋_GB2312" w:cs="仿宋"/>
          <w:sz w:val="32"/>
          <w:szCs w:val="32"/>
        </w:rPr>
        <w:t xml:space="preserve">  学位评定委员会办公室（简称学位办公室）是学院学位委员会的常设机构，负责处理日常工作。办公室设在教务处、研究生处。</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第六条</w:t>
      </w:r>
      <w:r>
        <w:rPr>
          <w:rFonts w:hint="eastAsia" w:ascii="仿宋_GB2312" w:hAnsi="仿宋" w:eastAsia="仿宋_GB2312" w:cs="仿宋"/>
          <w:sz w:val="32"/>
          <w:szCs w:val="32"/>
        </w:rPr>
        <w:t xml:space="preserve">  基层学位评定分委员会设主席1人，副主席1-2人，委员会由7～13人组成。基层学位评定分委员会主席原则上由各基层单位行政负责人担任，委员应具有副高级及以上专业技术职称。</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第七条</w:t>
      </w:r>
      <w:r>
        <w:rPr>
          <w:rFonts w:hint="eastAsia" w:ascii="仿宋_GB2312" w:hAnsi="仿宋" w:eastAsia="仿宋_GB2312" w:cs="仿宋"/>
          <w:sz w:val="32"/>
          <w:szCs w:val="32"/>
        </w:rPr>
        <w:t xml:space="preserve">  基层学位评定分委员会设兼职秘书1人，由本单位教学管理人员担任，负责日常工作。</w:t>
      </w:r>
    </w:p>
    <w:p>
      <w:pPr>
        <w:spacing w:line="360" w:lineRule="auto"/>
        <w:ind w:firstLine="643" w:firstLineChars="200"/>
        <w:rPr>
          <w:rFonts w:hint="eastAsia" w:ascii="仿宋_GB2312" w:hAnsi="仿宋" w:eastAsia="仿宋_GB2312" w:cs="宋体"/>
          <w:kern w:val="0"/>
          <w:sz w:val="32"/>
          <w:szCs w:val="32"/>
        </w:rPr>
      </w:pPr>
      <w:r>
        <w:rPr>
          <w:rFonts w:hint="eastAsia" w:ascii="仿宋_GB2312" w:hAnsi="仿宋" w:eastAsia="仿宋_GB2312"/>
          <w:b/>
          <w:sz w:val="32"/>
          <w:szCs w:val="32"/>
        </w:rPr>
        <w:t>第八条</w:t>
      </w:r>
      <w:r>
        <w:rPr>
          <w:rFonts w:hint="eastAsia" w:ascii="仿宋_GB2312" w:hAnsi="仿宋" w:eastAsia="仿宋_GB2312"/>
          <w:sz w:val="32"/>
          <w:szCs w:val="32"/>
        </w:rPr>
        <w:t xml:space="preserve"> </w:t>
      </w:r>
      <w:r>
        <w:rPr>
          <w:rFonts w:hint="eastAsia" w:ascii="仿宋_GB2312" w:hAnsi="仿宋" w:eastAsia="仿宋_GB2312" w:cs="宋体"/>
          <w:kern w:val="0"/>
          <w:sz w:val="32"/>
          <w:szCs w:val="32"/>
        </w:rPr>
        <w:t>学位</w:t>
      </w:r>
      <w:r>
        <w:rPr>
          <w:rFonts w:hint="eastAsia" w:ascii="仿宋_GB2312" w:hAnsi="仿宋" w:eastAsia="仿宋_GB2312" w:cs="仿宋_GB2312"/>
          <w:kern w:val="0"/>
          <w:sz w:val="32"/>
          <w:szCs w:val="32"/>
          <w:lang w:val="zh-CN"/>
        </w:rPr>
        <w:t>评定</w:t>
      </w:r>
      <w:r>
        <w:rPr>
          <w:rFonts w:hint="eastAsia" w:ascii="仿宋_GB2312" w:hAnsi="仿宋" w:eastAsia="仿宋_GB2312" w:cs="宋体"/>
          <w:kern w:val="0"/>
          <w:sz w:val="32"/>
          <w:szCs w:val="32"/>
        </w:rPr>
        <w:t>委员会委员在任期内有下列情形之一者，经主席提议，学位评定委员会批准，不再担任委员。</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（一）本人书面申请辞去委员职务；</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（二）在任期内退休、工作变动或调离；</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（三）累计两次非正当理由缺席学位评定委员会会议；</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（四）违反本章程有关规定；</w:t>
      </w:r>
    </w:p>
    <w:p>
      <w:pPr>
        <w:spacing w:line="360" w:lineRule="auto"/>
        <w:ind w:firstLine="640" w:firstLineChars="200"/>
        <w:rPr>
          <w:rFonts w:hint="eastAsia" w:ascii="仿宋_GB2312" w:hAnsi="宋体" w:eastAsia="仿宋_GB2312" w:cs="宋体"/>
          <w:kern w:val="0"/>
          <w:sz w:val="28"/>
          <w:szCs w:val="28"/>
        </w:rPr>
      </w:pPr>
      <w:r>
        <w:rPr>
          <w:rFonts w:hint="eastAsia" w:ascii="仿宋_GB2312" w:hAnsi="仿宋" w:eastAsia="仿宋_GB2312" w:cs="宋体"/>
          <w:kern w:val="0"/>
          <w:sz w:val="32"/>
          <w:szCs w:val="32"/>
        </w:rPr>
        <w:t>（五）因其他原因不能担任委员职务。</w:t>
      </w:r>
    </w:p>
    <w:p>
      <w:pPr>
        <w:widowControl/>
        <w:adjustRightInd w:val="0"/>
        <w:snapToGrid w:val="0"/>
        <w:spacing w:line="360" w:lineRule="auto"/>
        <w:jc w:val="center"/>
        <w:rPr>
          <w:rFonts w:hint="eastAsia" w:ascii="黑体" w:hAnsi="黑体" w:eastAsia="黑体" w:cs="宋体"/>
          <w:kern w:val="0"/>
          <w:sz w:val="32"/>
          <w:szCs w:val="32"/>
        </w:rPr>
      </w:pPr>
      <w:r>
        <w:rPr>
          <w:rFonts w:hint="eastAsia" w:ascii="黑体" w:hAnsi="黑体" w:eastAsia="黑体" w:cs="宋体"/>
          <w:kern w:val="0"/>
          <w:sz w:val="32"/>
          <w:szCs w:val="32"/>
        </w:rPr>
        <w:t>第三章 任期与换届</w:t>
      </w:r>
    </w:p>
    <w:p>
      <w:pPr>
        <w:pStyle w:val="9"/>
        <w:widowControl w:val="0"/>
        <w:adjustRightInd w:val="0"/>
        <w:snapToGrid w:val="0"/>
        <w:spacing w:before="0" w:beforeAutospacing="0" w:after="0" w:afterAutospacing="0" w:line="360" w:lineRule="auto"/>
        <w:ind w:firstLine="555"/>
        <w:rPr>
          <w:rFonts w:hint="eastAsia" w:ascii="仿宋_GB2312" w:hAnsi="仿宋" w:eastAsia="仿宋_GB2312"/>
          <w:sz w:val="32"/>
          <w:szCs w:val="32"/>
        </w:rPr>
      </w:pPr>
      <w:r>
        <w:rPr>
          <w:rFonts w:hint="eastAsia" w:ascii="仿宋_GB2312" w:hAnsi="仿宋" w:eastAsia="仿宋_GB2312"/>
          <w:b/>
          <w:sz w:val="32"/>
          <w:szCs w:val="32"/>
        </w:rPr>
        <w:t>第九条</w:t>
      </w:r>
      <w:r>
        <w:rPr>
          <w:rFonts w:hint="eastAsia" w:ascii="仿宋_GB2312" w:hAnsi="仿宋" w:eastAsia="仿宋_GB2312"/>
          <w:sz w:val="32"/>
          <w:szCs w:val="32"/>
        </w:rPr>
        <w:t xml:space="preserve">  学位</w:t>
      </w:r>
      <w:r>
        <w:rPr>
          <w:rFonts w:hint="eastAsia" w:ascii="仿宋_GB2312" w:hAnsi="仿宋" w:eastAsia="仿宋_GB2312" w:cs="仿宋_GB2312"/>
          <w:sz w:val="32"/>
          <w:szCs w:val="32"/>
          <w:lang w:val="zh-CN"/>
        </w:rPr>
        <w:t>评定</w:t>
      </w:r>
      <w:r>
        <w:rPr>
          <w:rFonts w:hint="eastAsia" w:ascii="仿宋_GB2312" w:hAnsi="仿宋" w:eastAsia="仿宋_GB2312"/>
          <w:sz w:val="32"/>
          <w:szCs w:val="32"/>
        </w:rPr>
        <w:t>委员会成员任期为三年。</w:t>
      </w:r>
    </w:p>
    <w:p>
      <w:pPr>
        <w:widowControl/>
        <w:spacing w:line="360" w:lineRule="auto"/>
        <w:ind w:firstLine="540"/>
        <w:jc w:val="left"/>
        <w:rPr>
          <w:rFonts w:hint="eastAsia" w:ascii="仿宋_GB2312" w:hAnsi="仿宋" w:eastAsia="仿宋_GB2312" w:cs="宋体"/>
          <w:kern w:val="0"/>
          <w:sz w:val="32"/>
          <w:szCs w:val="32"/>
        </w:rPr>
      </w:pPr>
      <w:r>
        <w:rPr>
          <w:rFonts w:hint="eastAsia" w:ascii="仿宋_GB2312" w:hAnsi="仿宋" w:eastAsia="仿宋_GB2312" w:cs="宋体"/>
          <w:b/>
          <w:kern w:val="0"/>
          <w:sz w:val="32"/>
          <w:szCs w:val="32"/>
        </w:rPr>
        <w:t>第十条</w:t>
      </w:r>
      <w:r>
        <w:rPr>
          <w:rFonts w:hint="eastAsia" w:ascii="仿宋_GB2312" w:hAnsi="仿宋" w:eastAsia="仿宋_GB2312" w:cs="宋体"/>
          <w:kern w:val="0"/>
          <w:sz w:val="32"/>
          <w:szCs w:val="32"/>
        </w:rPr>
        <w:t xml:space="preserve">  委员换届</w:t>
      </w:r>
    </w:p>
    <w:p>
      <w:pPr>
        <w:spacing w:line="360" w:lineRule="auto"/>
        <w:ind w:firstLine="640" w:firstLineChars="200"/>
        <w:rPr>
          <w:rFonts w:hint="eastAsia" w:ascii="仿宋_GB2312" w:hAnsi="仿宋" w:eastAsia="仿宋_GB2312" w:cs="仿宋_GB2312"/>
          <w:kern w:val="0"/>
          <w:sz w:val="32"/>
          <w:szCs w:val="32"/>
          <w:lang w:val="zh-CN"/>
        </w:rPr>
      </w:pPr>
      <w:r>
        <w:rPr>
          <w:rFonts w:hint="eastAsia" w:ascii="仿宋_GB2312" w:hAnsi="仿宋" w:eastAsia="仿宋_GB2312" w:cs="仿宋_GB2312"/>
          <w:kern w:val="0"/>
          <w:sz w:val="32"/>
          <w:szCs w:val="32"/>
        </w:rPr>
        <w:t>（一）学位</w:t>
      </w:r>
      <w:r>
        <w:rPr>
          <w:rFonts w:hint="eastAsia" w:ascii="仿宋_GB2312" w:hAnsi="仿宋" w:eastAsia="仿宋_GB2312" w:cs="仿宋_GB2312"/>
          <w:kern w:val="0"/>
          <w:sz w:val="32"/>
          <w:szCs w:val="32"/>
          <w:lang w:val="zh-CN"/>
        </w:rPr>
        <w:t>评定委员会委员由前一届学位办公室组织提名，在广泛征求各方面意见的基础上，提请院长办公会议审定，学院发文聘任；</w:t>
      </w:r>
    </w:p>
    <w:p>
      <w:pPr>
        <w:spacing w:line="360" w:lineRule="auto"/>
        <w:ind w:firstLine="640" w:firstLineChars="200"/>
        <w:rPr>
          <w:rFonts w:hint="eastAsia" w:ascii="仿宋_GB2312" w:hAnsi="仿宋" w:eastAsia="仿宋_GB2312" w:cs="仿宋_GB2312"/>
          <w:kern w:val="0"/>
          <w:sz w:val="32"/>
          <w:szCs w:val="32"/>
          <w:lang w:val="zh-CN"/>
        </w:rPr>
      </w:pPr>
      <w:r>
        <w:rPr>
          <w:rFonts w:hint="eastAsia" w:ascii="仿宋_GB2312" w:hAnsi="仿宋" w:eastAsia="仿宋_GB2312" w:cs="仿宋_GB2312"/>
          <w:kern w:val="0"/>
          <w:sz w:val="32"/>
          <w:szCs w:val="32"/>
          <w:lang w:val="zh-CN"/>
        </w:rPr>
        <w:t>（二）因出现第八条规定情形，不能履行职责者，学位评定委员会主席可对其及时解聘；如需补聘，则按委员产生程序进行。</w:t>
      </w:r>
    </w:p>
    <w:p>
      <w:pPr>
        <w:spacing w:line="360" w:lineRule="auto"/>
        <w:jc w:val="center"/>
        <w:rPr>
          <w:rFonts w:hint="eastAsia" w:ascii="仿宋" w:hAnsi="仿宋" w:eastAsia="仿宋" w:cs="仿宋"/>
          <w:sz w:val="32"/>
          <w:szCs w:val="32"/>
        </w:rPr>
      </w:pPr>
      <w:r>
        <w:rPr>
          <w:rFonts w:hint="eastAsia" w:ascii="黑体" w:hAnsi="黑体" w:eastAsia="黑体" w:cs="黑体"/>
          <w:sz w:val="32"/>
          <w:szCs w:val="32"/>
        </w:rPr>
        <w:t>第四章  各级组织机构职能</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第十一条</w:t>
      </w:r>
      <w:r>
        <w:rPr>
          <w:rFonts w:hint="eastAsia" w:ascii="仿宋_GB2312" w:hAnsi="仿宋" w:eastAsia="仿宋_GB2312" w:cs="仿宋"/>
          <w:sz w:val="32"/>
          <w:szCs w:val="32"/>
        </w:rPr>
        <w:t xml:space="preserve">  学院学位委员会职责</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（一）学位点建设工作</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1.负责学院的学位点建设，制定学院学位点建设发展规划；</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2.负责审定新增博士学位授予单位和新增博士、硕士学位授权点的申报材料；</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3.负责审定遴选研究生指导教师的资格；</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4.审定学院各授权学位点的研究生培养方案。</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（二）学位授予工作</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1.审查授予学位人员名单，听取学位评定委员会办公室对学位授予工作的汇报，做出授予学士、硕士学位的决定；</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2.做出授予成人高等教育毕业生学士学位、具有研究生毕业同等学力人员申请硕士学位的决定；</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3.做出授予来院留学生各级学位的决定；</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4.做出授予第二学士学位的决定；</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5.新增学士学位授予专业审核工作；</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6.处理学士、硕士学位授予中有争议的问题；</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7.做出撤销已授予学士、硕士学位的决定；</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8.审定授予学位工作细则并检查执行情况；</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9.受主席委托，对其他相关工作提出咨询性意见和建议。</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（三）学位管理及评估工作</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1.评选院级优秀硕士学位论文；</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2.研究、决定学院研究生培养及学位授予工作的有关政策及改革建设的有关问题；</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3.负责学位授予质量的评估。</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学位评定分委员会职责</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1.研究、审核、决定本单位学位与研究生教育工作中的有关事项；</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2.初评并推荐新增研究生指导教师资格；</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3.做出授予学士、硕士学位的建议；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4.做出授予成人高等教育毕业生学士学位、具有研究生毕业同等学力人员申请硕士学位的建议；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5.做出授予来校留学生各级学位的建议；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6.做出授予第二学士学位的建议；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7.新增学士学位授予专业自查工作；</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8.审议学士、硕士学位授予中有争议的问题；</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9.做出撤销已授予学士、硕士学位的建议；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10.组织学位授予质量检查、评估材料；</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11.研究有关研究生培养和学位授予的其他事项，并向学位评定委员会提出处理建议；</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12.负责推荐优秀硕士学位论文；</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13.负责初审、论证各授权学位点的研究生培养方案；</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14.负责初评并推荐新增博士硕士学位授权点；</w:t>
      </w:r>
    </w:p>
    <w:p>
      <w:pPr>
        <w:spacing w:line="360" w:lineRule="auto"/>
        <w:ind w:firstLine="640" w:firstLineChars="200"/>
        <w:rPr>
          <w:rFonts w:hint="eastAsia" w:ascii="仿宋_GB2312" w:hAnsi="仿宋" w:eastAsia="仿宋_GB2312" w:cs="宋体"/>
          <w:kern w:val="0"/>
          <w:sz w:val="32"/>
          <w:szCs w:val="32"/>
        </w:rPr>
      </w:pPr>
      <w:r>
        <w:rPr>
          <w:rFonts w:hint="eastAsia" w:ascii="仿宋_GB2312" w:hAnsi="仿宋" w:eastAsia="仿宋_GB2312" w:cs="仿宋"/>
          <w:sz w:val="32"/>
          <w:szCs w:val="32"/>
        </w:rPr>
        <w:t>15.完成学位评定委员会布置的其他工作。</w:t>
      </w:r>
    </w:p>
    <w:p>
      <w:pPr>
        <w:spacing w:line="360" w:lineRule="auto"/>
        <w:jc w:val="center"/>
        <w:rPr>
          <w:rFonts w:hint="eastAsia" w:ascii="黑体" w:hAnsi="黑体" w:eastAsia="黑体" w:cs="黑体"/>
          <w:sz w:val="32"/>
          <w:szCs w:val="32"/>
        </w:rPr>
      </w:pPr>
      <w:r>
        <w:rPr>
          <w:rFonts w:hint="eastAsia" w:ascii="黑体" w:hAnsi="黑体" w:eastAsia="黑体" w:cs="黑体"/>
          <w:sz w:val="32"/>
          <w:szCs w:val="32"/>
        </w:rPr>
        <w:t>第五章  工作规程</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第十三条</w:t>
      </w:r>
      <w:r>
        <w:rPr>
          <w:rFonts w:hint="eastAsia" w:ascii="仿宋_GB2312" w:hAnsi="仿宋" w:eastAsia="仿宋_GB2312" w:cs="仿宋"/>
          <w:sz w:val="32"/>
          <w:szCs w:val="32"/>
        </w:rPr>
        <w:t xml:space="preserve">  学院学位委员会原则上每年上半年、下半年各召开一次全体会议。如有特殊情况可以临时召集主席或全体委员会议，会议由主席主持。各基层学位评定分委员会根据工作需要可随时召开会议。</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第十四条</w:t>
      </w:r>
      <w:r>
        <w:rPr>
          <w:rFonts w:hint="eastAsia" w:ascii="仿宋_GB2312" w:hAnsi="仿宋" w:eastAsia="仿宋_GB2312" w:cs="仿宋"/>
          <w:sz w:val="32"/>
          <w:szCs w:val="32"/>
        </w:rPr>
        <w:t xml:space="preserve">  闭会期间由学院学位委员会主席会议研究处理有关事宜。学院学位委员会会议召开前，应先行召开主席会议，对会议议程进行审核，通过后方可提交全体会议审议。</w:t>
      </w:r>
    </w:p>
    <w:p>
      <w:pPr>
        <w:spacing w:line="360" w:lineRule="auto"/>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第十五条</w:t>
      </w:r>
      <w:r>
        <w:rPr>
          <w:rFonts w:hint="eastAsia" w:ascii="仿宋_GB2312" w:hAnsi="仿宋" w:eastAsia="仿宋_GB2312" w:cs="仿宋"/>
          <w:sz w:val="32"/>
          <w:szCs w:val="32"/>
        </w:rPr>
        <w:t xml:space="preserve">  会议由学位评定委员会主席主持。主席因故不能主持会议时，由主席委托副主席代为主持。</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第十六条</w:t>
      </w:r>
      <w:r>
        <w:rPr>
          <w:rFonts w:hint="eastAsia" w:ascii="仿宋_GB2312" w:hAnsi="仿宋" w:eastAsia="仿宋_GB2312" w:cs="仿宋"/>
          <w:sz w:val="32"/>
          <w:szCs w:val="32"/>
        </w:rPr>
        <w:t xml:space="preserve">  学位评定委员会如因特殊原因不能召开会议，可通过书面表决形式形成委员会决议。</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第十七条</w:t>
      </w:r>
      <w:r>
        <w:rPr>
          <w:rFonts w:hint="eastAsia" w:ascii="仿宋_GB2312" w:hAnsi="仿宋" w:eastAsia="仿宋_GB2312" w:cs="仿宋"/>
          <w:sz w:val="32"/>
          <w:szCs w:val="32"/>
        </w:rPr>
        <w:t xml:space="preserve">  各级学位评定委员会召开会议，到会人数必须达到全体委员人数的三分之二及以上方为有效。各级学位评定委员会会议做出决定时，应以不记名投票的方式进行表决。如无特殊说明，学位评定委员会表决时，同意票超过全体委员人数的二分之一为通过；基层学位评定分委员会表决时，同意票数要达到到会委员人数的三分之二及以上，且超过全体委员人数的二分之一为通过。</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第十八条</w:t>
      </w:r>
      <w:r>
        <w:rPr>
          <w:rFonts w:hint="eastAsia" w:ascii="仿宋_GB2312" w:hAnsi="仿宋" w:eastAsia="仿宋_GB2312" w:cs="仿宋"/>
          <w:sz w:val="32"/>
          <w:szCs w:val="32"/>
        </w:rPr>
        <w:t xml:space="preserve">  学位评定委员会委员一般不得缺席学位评定委员会会议，不能出席者应请假，并由学位评定委员会办公室汇总后向学位评定委员会主席报告。</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第十九条</w:t>
      </w:r>
      <w:r>
        <w:rPr>
          <w:rFonts w:hint="eastAsia" w:ascii="仿宋_GB2312" w:hAnsi="仿宋" w:eastAsia="仿宋_GB2312" w:cs="仿宋"/>
          <w:sz w:val="32"/>
          <w:szCs w:val="32"/>
        </w:rPr>
        <w:t xml:space="preserve">  各级学位评定委员会会议实行回避制度。在讨论、审议或评定与委员本人及其配偶和直系亲属有关的事项时，该委员须回避。</w:t>
      </w:r>
    </w:p>
    <w:p>
      <w:pPr>
        <w:spacing w:line="600" w:lineRule="exact"/>
        <w:jc w:val="center"/>
        <w:rPr>
          <w:rFonts w:hint="eastAsia" w:ascii="黑体" w:hAnsi="黑体" w:eastAsia="黑体" w:cs="黑体"/>
          <w:sz w:val="32"/>
          <w:szCs w:val="32"/>
        </w:rPr>
      </w:pPr>
      <w:r>
        <w:rPr>
          <w:rFonts w:hint="eastAsia" w:ascii="黑体" w:hAnsi="黑体" w:eastAsia="黑体" w:cs="黑体"/>
          <w:sz w:val="32"/>
          <w:szCs w:val="32"/>
        </w:rPr>
        <w:t>第六章  附  则</w:t>
      </w:r>
    </w:p>
    <w:p>
      <w:pPr>
        <w:spacing w:line="600"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第二十条</w:t>
      </w:r>
      <w:r>
        <w:rPr>
          <w:rFonts w:hint="eastAsia" w:ascii="仿宋_GB2312" w:hAnsi="仿宋" w:eastAsia="仿宋_GB2312" w:cs="仿宋"/>
          <w:sz w:val="32"/>
          <w:szCs w:val="32"/>
        </w:rPr>
        <w:t xml:space="preserve">  本章程自发布之日起实施，原《齐齐哈尔医学院学位评定委员会工作章程》（院政发〔2017〕72号）同时废止。</w:t>
      </w:r>
    </w:p>
    <w:p>
      <w:pPr>
        <w:spacing w:line="360" w:lineRule="auto"/>
        <w:ind w:firstLine="643" w:firstLineChars="200"/>
        <w:rPr>
          <w:rFonts w:hint="eastAsia" w:ascii="仿宋_GB2312" w:eastAsia="仿宋_GB2312"/>
          <w:sz w:val="32"/>
          <w:szCs w:val="32"/>
        </w:rPr>
      </w:pPr>
      <w:r>
        <w:rPr>
          <w:rFonts w:hint="eastAsia" w:ascii="仿宋_GB2312" w:hAnsi="仿宋" w:eastAsia="仿宋_GB2312" w:cs="仿宋"/>
          <w:b/>
          <w:bCs/>
          <w:sz w:val="32"/>
          <w:szCs w:val="32"/>
        </w:rPr>
        <w:t>第二十一条</w:t>
      </w:r>
      <w:r>
        <w:rPr>
          <w:rFonts w:hint="eastAsia" w:ascii="仿宋_GB2312" w:hAnsi="仿宋" w:eastAsia="仿宋_GB2312" w:cs="仿宋"/>
          <w:sz w:val="32"/>
          <w:szCs w:val="32"/>
        </w:rPr>
        <w:t xml:space="preserve">  本章程由学位评定委员会办公室负责解释。</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sectPr>
      <w:headerReference r:id="rId3" w:type="default"/>
      <w:footerReference r:id="rId4" w:type="default"/>
      <w:footerReference r:id="rId5" w:type="even"/>
      <w:pgSz w:w="11906" w:h="16838"/>
      <w:pgMar w:top="1701" w:right="1474" w:bottom="1418" w:left="1588"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5"/>
        <w:rFonts w:ascii="宋体" w:hAnsi="宋体" w:eastAsia="宋体"/>
        <w:sz w:val="28"/>
        <w:szCs w:val="28"/>
      </w:rPr>
    </w:pP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- 6 -</w:t>
    </w:r>
    <w:r>
      <w:rPr>
        <w:rStyle w:val="15"/>
        <w:rFonts w:ascii="宋体" w:hAnsi="宋体" w:eastAsia="宋体"/>
        <w:sz w:val="28"/>
        <w:szCs w:val="28"/>
      </w:rPr>
      <w:fldChar w:fldCharType="end"/>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5"/>
      </w:rPr>
    </w:pPr>
    <w:r>
      <w:rPr>
        <w:rStyle w:val="15"/>
      </w:rPr>
      <w:fldChar w:fldCharType="begin"/>
    </w:r>
    <w:r>
      <w:rPr>
        <w:rStyle w:val="15"/>
      </w:rPr>
      <w:instrText xml:space="preserve">PAGE  </w:instrText>
    </w:r>
    <w:r>
      <w:rPr>
        <w:rStyle w:val="15"/>
      </w:rPr>
      <w:fldChar w:fldCharType="end"/>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7497"/>
    <w:rsid w:val="00021D49"/>
    <w:rsid w:val="0003403E"/>
    <w:rsid w:val="00036C2C"/>
    <w:rsid w:val="00037B78"/>
    <w:rsid w:val="000461F1"/>
    <w:rsid w:val="00052005"/>
    <w:rsid w:val="0005277C"/>
    <w:rsid w:val="00074A14"/>
    <w:rsid w:val="000A367C"/>
    <w:rsid w:val="000A7DBD"/>
    <w:rsid w:val="000B6182"/>
    <w:rsid w:val="000F08AD"/>
    <w:rsid w:val="00111487"/>
    <w:rsid w:val="001168AE"/>
    <w:rsid w:val="00127E99"/>
    <w:rsid w:val="00140CB5"/>
    <w:rsid w:val="00166EE7"/>
    <w:rsid w:val="00193BEE"/>
    <w:rsid w:val="001B0D4D"/>
    <w:rsid w:val="001B5FD9"/>
    <w:rsid w:val="001C1F87"/>
    <w:rsid w:val="001C5BA7"/>
    <w:rsid w:val="001C7C3E"/>
    <w:rsid w:val="001D3FC8"/>
    <w:rsid w:val="001D720D"/>
    <w:rsid w:val="001E08BF"/>
    <w:rsid w:val="001E11AE"/>
    <w:rsid w:val="001E7258"/>
    <w:rsid w:val="001F5B24"/>
    <w:rsid w:val="00207C3C"/>
    <w:rsid w:val="00215937"/>
    <w:rsid w:val="00215F85"/>
    <w:rsid w:val="002163DB"/>
    <w:rsid w:val="00230220"/>
    <w:rsid w:val="002334D0"/>
    <w:rsid w:val="002422DE"/>
    <w:rsid w:val="002612FE"/>
    <w:rsid w:val="002C758B"/>
    <w:rsid w:val="00301FB7"/>
    <w:rsid w:val="003174AD"/>
    <w:rsid w:val="003225DD"/>
    <w:rsid w:val="00332BF0"/>
    <w:rsid w:val="00334E7C"/>
    <w:rsid w:val="00344132"/>
    <w:rsid w:val="003A7277"/>
    <w:rsid w:val="003B1372"/>
    <w:rsid w:val="003B2DA9"/>
    <w:rsid w:val="003B50D2"/>
    <w:rsid w:val="003B7A37"/>
    <w:rsid w:val="003C0F11"/>
    <w:rsid w:val="003D3B36"/>
    <w:rsid w:val="003E28E5"/>
    <w:rsid w:val="003F67AC"/>
    <w:rsid w:val="004031FD"/>
    <w:rsid w:val="004051EA"/>
    <w:rsid w:val="0042611A"/>
    <w:rsid w:val="00427467"/>
    <w:rsid w:val="00440E3C"/>
    <w:rsid w:val="00460078"/>
    <w:rsid w:val="00471A7C"/>
    <w:rsid w:val="00481AD9"/>
    <w:rsid w:val="004853AA"/>
    <w:rsid w:val="00497265"/>
    <w:rsid w:val="004A269C"/>
    <w:rsid w:val="004A3C20"/>
    <w:rsid w:val="004B2BD7"/>
    <w:rsid w:val="004B78F4"/>
    <w:rsid w:val="004C4C3E"/>
    <w:rsid w:val="004C5ABA"/>
    <w:rsid w:val="004E3890"/>
    <w:rsid w:val="004F3D1F"/>
    <w:rsid w:val="004F6BDD"/>
    <w:rsid w:val="00500FBB"/>
    <w:rsid w:val="00531638"/>
    <w:rsid w:val="00531856"/>
    <w:rsid w:val="005455B0"/>
    <w:rsid w:val="00560D8E"/>
    <w:rsid w:val="00560E5E"/>
    <w:rsid w:val="00580DC9"/>
    <w:rsid w:val="00594D23"/>
    <w:rsid w:val="00596F2E"/>
    <w:rsid w:val="005B30BC"/>
    <w:rsid w:val="005B3737"/>
    <w:rsid w:val="005D1D9D"/>
    <w:rsid w:val="005D2E68"/>
    <w:rsid w:val="005D3E5D"/>
    <w:rsid w:val="005E6361"/>
    <w:rsid w:val="006045FF"/>
    <w:rsid w:val="0060511E"/>
    <w:rsid w:val="00621BD5"/>
    <w:rsid w:val="00626E49"/>
    <w:rsid w:val="006529C4"/>
    <w:rsid w:val="00654196"/>
    <w:rsid w:val="006554A1"/>
    <w:rsid w:val="00686DF1"/>
    <w:rsid w:val="00692003"/>
    <w:rsid w:val="00692A6F"/>
    <w:rsid w:val="00697353"/>
    <w:rsid w:val="006A2B19"/>
    <w:rsid w:val="006A5D16"/>
    <w:rsid w:val="006B0822"/>
    <w:rsid w:val="006B4A61"/>
    <w:rsid w:val="006C4A52"/>
    <w:rsid w:val="006C545A"/>
    <w:rsid w:val="006D2960"/>
    <w:rsid w:val="006F1627"/>
    <w:rsid w:val="006F17F5"/>
    <w:rsid w:val="006F2C95"/>
    <w:rsid w:val="006F3E25"/>
    <w:rsid w:val="006F4CD1"/>
    <w:rsid w:val="00701455"/>
    <w:rsid w:val="007076E9"/>
    <w:rsid w:val="00711C28"/>
    <w:rsid w:val="00723244"/>
    <w:rsid w:val="00741933"/>
    <w:rsid w:val="00744564"/>
    <w:rsid w:val="007707C4"/>
    <w:rsid w:val="00795FC6"/>
    <w:rsid w:val="007B1A7C"/>
    <w:rsid w:val="007B23B4"/>
    <w:rsid w:val="007C0ED0"/>
    <w:rsid w:val="007E5F71"/>
    <w:rsid w:val="007F3DD2"/>
    <w:rsid w:val="00804337"/>
    <w:rsid w:val="008156E1"/>
    <w:rsid w:val="0083357B"/>
    <w:rsid w:val="008424DE"/>
    <w:rsid w:val="00854069"/>
    <w:rsid w:val="0085513B"/>
    <w:rsid w:val="00863B74"/>
    <w:rsid w:val="008D3DEF"/>
    <w:rsid w:val="008D714A"/>
    <w:rsid w:val="008E54F0"/>
    <w:rsid w:val="00904FBE"/>
    <w:rsid w:val="009222A8"/>
    <w:rsid w:val="00960AD3"/>
    <w:rsid w:val="009651CA"/>
    <w:rsid w:val="009714E0"/>
    <w:rsid w:val="00973FB3"/>
    <w:rsid w:val="009930EA"/>
    <w:rsid w:val="009A24A1"/>
    <w:rsid w:val="009D016A"/>
    <w:rsid w:val="00A01B42"/>
    <w:rsid w:val="00A23B21"/>
    <w:rsid w:val="00A249AE"/>
    <w:rsid w:val="00A40666"/>
    <w:rsid w:val="00A410FD"/>
    <w:rsid w:val="00A429BB"/>
    <w:rsid w:val="00A62B5C"/>
    <w:rsid w:val="00A74480"/>
    <w:rsid w:val="00A953B9"/>
    <w:rsid w:val="00AA29A0"/>
    <w:rsid w:val="00AA34CF"/>
    <w:rsid w:val="00B05DD7"/>
    <w:rsid w:val="00B1197B"/>
    <w:rsid w:val="00B16E5E"/>
    <w:rsid w:val="00B462A4"/>
    <w:rsid w:val="00B50652"/>
    <w:rsid w:val="00B65706"/>
    <w:rsid w:val="00B7258F"/>
    <w:rsid w:val="00B83E26"/>
    <w:rsid w:val="00B85B45"/>
    <w:rsid w:val="00B91714"/>
    <w:rsid w:val="00BA7041"/>
    <w:rsid w:val="00BB0940"/>
    <w:rsid w:val="00BD5846"/>
    <w:rsid w:val="00BD5981"/>
    <w:rsid w:val="00BD6AB4"/>
    <w:rsid w:val="00C02DA0"/>
    <w:rsid w:val="00C10D02"/>
    <w:rsid w:val="00C158CF"/>
    <w:rsid w:val="00C24E42"/>
    <w:rsid w:val="00C36518"/>
    <w:rsid w:val="00C37E68"/>
    <w:rsid w:val="00C4021A"/>
    <w:rsid w:val="00C667D0"/>
    <w:rsid w:val="00C756A3"/>
    <w:rsid w:val="00CC2327"/>
    <w:rsid w:val="00CD4856"/>
    <w:rsid w:val="00CD6232"/>
    <w:rsid w:val="00CE5ACC"/>
    <w:rsid w:val="00CF620F"/>
    <w:rsid w:val="00CF7276"/>
    <w:rsid w:val="00D043E4"/>
    <w:rsid w:val="00D10E92"/>
    <w:rsid w:val="00D3072A"/>
    <w:rsid w:val="00D63448"/>
    <w:rsid w:val="00D768F7"/>
    <w:rsid w:val="00D91E5F"/>
    <w:rsid w:val="00DA38D1"/>
    <w:rsid w:val="00DA7497"/>
    <w:rsid w:val="00DB1B35"/>
    <w:rsid w:val="00DB508F"/>
    <w:rsid w:val="00DF194B"/>
    <w:rsid w:val="00E129ED"/>
    <w:rsid w:val="00E2143B"/>
    <w:rsid w:val="00E319C1"/>
    <w:rsid w:val="00E34A61"/>
    <w:rsid w:val="00E50A49"/>
    <w:rsid w:val="00E66DCD"/>
    <w:rsid w:val="00E74BA8"/>
    <w:rsid w:val="00E923F5"/>
    <w:rsid w:val="00E9425B"/>
    <w:rsid w:val="00EB6451"/>
    <w:rsid w:val="00ED0AF2"/>
    <w:rsid w:val="00ED2E74"/>
    <w:rsid w:val="00EE4C22"/>
    <w:rsid w:val="00EF4B46"/>
    <w:rsid w:val="00F02606"/>
    <w:rsid w:val="00F040EF"/>
    <w:rsid w:val="00F124F8"/>
    <w:rsid w:val="00F322A0"/>
    <w:rsid w:val="00F61105"/>
    <w:rsid w:val="00F649D9"/>
    <w:rsid w:val="00F65AE7"/>
    <w:rsid w:val="00F6627F"/>
    <w:rsid w:val="00F84162"/>
    <w:rsid w:val="00F92EAA"/>
    <w:rsid w:val="00FA4015"/>
    <w:rsid w:val="00FB2DB8"/>
    <w:rsid w:val="00FC2094"/>
    <w:rsid w:val="00FC4EBD"/>
    <w:rsid w:val="00FC54A3"/>
    <w:rsid w:val="00FD0A2E"/>
    <w:rsid w:val="00FD19AA"/>
    <w:rsid w:val="00FD7483"/>
    <w:rsid w:val="00FE455E"/>
    <w:rsid w:val="00FE701B"/>
    <w:rsid w:val="05112F94"/>
    <w:rsid w:val="06F13923"/>
    <w:rsid w:val="0850251D"/>
    <w:rsid w:val="0C39497D"/>
    <w:rsid w:val="12626E57"/>
    <w:rsid w:val="12C7496E"/>
    <w:rsid w:val="1FAD1ABF"/>
    <w:rsid w:val="27A47C93"/>
    <w:rsid w:val="2B8E7E72"/>
    <w:rsid w:val="2FA34517"/>
    <w:rsid w:val="33D35F89"/>
    <w:rsid w:val="36770DE0"/>
    <w:rsid w:val="3AE2648E"/>
    <w:rsid w:val="3C072DCF"/>
    <w:rsid w:val="3E4D7509"/>
    <w:rsid w:val="3F4155F5"/>
    <w:rsid w:val="3F637063"/>
    <w:rsid w:val="464D347A"/>
    <w:rsid w:val="487553FC"/>
    <w:rsid w:val="4B6F3520"/>
    <w:rsid w:val="543276B0"/>
    <w:rsid w:val="56D61383"/>
    <w:rsid w:val="56E205BC"/>
    <w:rsid w:val="58E05743"/>
    <w:rsid w:val="5A5567AD"/>
    <w:rsid w:val="5F78745E"/>
    <w:rsid w:val="60704DC8"/>
    <w:rsid w:val="694325A7"/>
    <w:rsid w:val="707C6594"/>
    <w:rsid w:val="708F4EFA"/>
    <w:rsid w:val="70EE0F95"/>
    <w:rsid w:val="75F81035"/>
    <w:rsid w:val="76D135F6"/>
    <w:rsid w:val="7A27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paragraph" w:styleId="2">
    <w:name w:val="heading 1"/>
    <w:basedOn w:val="1"/>
    <w:next w:val="1"/>
    <w:qFormat/>
    <w:uiPriority w:val="0"/>
    <w:pPr>
      <w:autoSpaceDE w:val="0"/>
      <w:autoSpaceDN w:val="0"/>
      <w:spacing w:line="642" w:lineRule="exact"/>
      <w:ind w:left="890" w:right="929"/>
      <w:jc w:val="center"/>
      <w:outlineLvl w:val="0"/>
    </w:pPr>
    <w:rPr>
      <w:rFonts w:ascii="方正小标宋简体" w:hAnsi="方正小标宋简体" w:eastAsia="方正小标宋简体" w:cs="方正小标宋简体"/>
      <w:kern w:val="0"/>
      <w:sz w:val="44"/>
      <w:szCs w:val="44"/>
      <w:lang w:val="zh-CN" w:bidi="zh-CN"/>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Body Text"/>
    <w:basedOn w:val="1"/>
    <w:uiPriority w:val="0"/>
    <w:pPr>
      <w:spacing w:after="120"/>
    </w:pPr>
  </w:style>
  <w:style w:type="paragraph" w:styleId="5">
    <w:name w:val="Body Text Indent"/>
    <w:basedOn w:val="1"/>
    <w:uiPriority w:val="0"/>
    <w:pPr>
      <w:spacing w:after="120"/>
      <w:ind w:left="420" w:leftChars="200"/>
    </w:pPr>
  </w:style>
  <w:style w:type="paragraph" w:styleId="6">
    <w:name w:val="Balloon Text"/>
    <w:basedOn w:val="1"/>
    <w:link w:val="19"/>
    <w:semiHidden/>
    <w:unhideWhenUsed/>
    <w:qFormat/>
    <w:uiPriority w:val="99"/>
    <w:rPr>
      <w:rFonts w:ascii="宋体" w:eastAsia="宋体"/>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3"/>
    <w:next w:val="3"/>
    <w:link w:val="22"/>
    <w:semiHidden/>
    <w:unhideWhenUsed/>
    <w:qFormat/>
    <w:uiPriority w:val="99"/>
    <w:rPr>
      <w:b/>
      <w:bCs/>
    </w:rPr>
  </w:style>
  <w:style w:type="paragraph" w:styleId="11">
    <w:name w:val="Body Text First Indent 2"/>
    <w:basedOn w:val="5"/>
    <w:uiPriority w:val="0"/>
    <w:pPr>
      <w:ind w:firstLine="420" w:firstLineChars="200"/>
    </w:pPr>
  </w:style>
  <w:style w:type="character" w:styleId="14">
    <w:name w:val="Strong"/>
    <w:basedOn w:val="13"/>
    <w:qFormat/>
    <w:uiPriority w:val="22"/>
    <w:rPr>
      <w:b/>
      <w:bCs/>
    </w:rPr>
  </w:style>
  <w:style w:type="character" w:styleId="15">
    <w:name w:val="page number"/>
    <w:basedOn w:val="13"/>
    <w:uiPriority w:val="0"/>
  </w:style>
  <w:style w:type="character" w:styleId="16">
    <w:name w:val="Hyperlink"/>
    <w:uiPriority w:val="0"/>
    <w:rPr>
      <w:color w:val="0000FF"/>
      <w:u w:val="single"/>
    </w:rPr>
  </w:style>
  <w:style w:type="character" w:styleId="17">
    <w:name w:val="annotation reference"/>
    <w:basedOn w:val="13"/>
    <w:semiHidden/>
    <w:unhideWhenUsed/>
    <w:qFormat/>
    <w:uiPriority w:val="99"/>
    <w:rPr>
      <w:sz w:val="21"/>
      <w:szCs w:val="21"/>
    </w:rPr>
  </w:style>
  <w:style w:type="character" w:customStyle="1" w:styleId="18">
    <w:name w:val="批注文字 Char"/>
    <w:basedOn w:val="13"/>
    <w:link w:val="3"/>
    <w:semiHidden/>
    <w:qFormat/>
    <w:uiPriority w:val="99"/>
  </w:style>
  <w:style w:type="character" w:customStyle="1" w:styleId="19">
    <w:name w:val="批注框文本 Char"/>
    <w:basedOn w:val="13"/>
    <w:link w:val="6"/>
    <w:semiHidden/>
    <w:qFormat/>
    <w:uiPriority w:val="99"/>
    <w:rPr>
      <w:rFonts w:ascii="宋体" w:eastAsia="宋体"/>
      <w:sz w:val="18"/>
      <w:szCs w:val="18"/>
    </w:rPr>
  </w:style>
  <w:style w:type="character" w:customStyle="1" w:styleId="20">
    <w:name w:val="页脚 Char"/>
    <w:basedOn w:val="13"/>
    <w:link w:val="7"/>
    <w:qFormat/>
    <w:uiPriority w:val="99"/>
    <w:rPr>
      <w:sz w:val="18"/>
      <w:szCs w:val="18"/>
    </w:rPr>
  </w:style>
  <w:style w:type="character" w:customStyle="1" w:styleId="21">
    <w:name w:val="页眉 Char"/>
    <w:basedOn w:val="13"/>
    <w:link w:val="8"/>
    <w:semiHidden/>
    <w:qFormat/>
    <w:uiPriority w:val="99"/>
    <w:rPr>
      <w:sz w:val="18"/>
      <w:szCs w:val="18"/>
    </w:rPr>
  </w:style>
  <w:style w:type="character" w:customStyle="1" w:styleId="22">
    <w:name w:val="批注主题 Char"/>
    <w:basedOn w:val="18"/>
    <w:link w:val="10"/>
    <w:semiHidden/>
    <w:qFormat/>
    <w:uiPriority w:val="99"/>
    <w:rPr>
      <w:b/>
      <w:bCs/>
    </w:rPr>
  </w:style>
  <w:style w:type="character" w:customStyle="1" w:styleId="23">
    <w:name w:val="apple-converted-space"/>
    <w:basedOn w:val="13"/>
    <w:qFormat/>
    <w:uiPriority w:val="0"/>
  </w:style>
  <w:style w:type="paragraph" w:styleId="24">
    <w:name w:val="List Paragraph"/>
    <w:basedOn w:val="1"/>
    <w:qFormat/>
    <w:uiPriority w:val="34"/>
    <w:pPr>
      <w:ind w:firstLine="420" w:firstLineChars="200"/>
    </w:pPr>
  </w:style>
  <w:style w:type="character" w:customStyle="1" w:styleId="25">
    <w:name w:val="页脚 Char1"/>
    <w:uiPriority w:val="0"/>
    <w:rPr>
      <w:rFonts w:eastAsia="宋体"/>
      <w:kern w:val="2"/>
      <w:sz w:val="18"/>
      <w:szCs w:val="18"/>
      <w:lang w:val="en-US" w:eastAsia="zh-CN" w:bidi="ar-SA"/>
    </w:rPr>
  </w:style>
  <w:style w:type="paragraph" w:customStyle="1" w:styleId="26">
    <w:name w:val="No Spacing1"/>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List Paragraph1"/>
    <w:basedOn w:val="1"/>
    <w:uiPriority w:val="0"/>
    <w:pPr>
      <w:ind w:firstLine="420" w:firstLineChars="200"/>
    </w:pPr>
    <w:rPr>
      <w:rFonts w:ascii="Calibri" w:hAnsi="Calibri" w:eastAsia="宋体"/>
      <w:szCs w:val="22"/>
    </w:rPr>
  </w:style>
  <w:style w:type="paragraph" w:customStyle="1" w:styleId="28">
    <w:name w:val="Table Paragraph"/>
    <w:basedOn w:val="1"/>
    <w:qFormat/>
    <w:uiPriority w:val="0"/>
    <w:pPr>
      <w:autoSpaceDE w:val="0"/>
      <w:autoSpaceDN w:val="0"/>
      <w:jc w:val="left"/>
    </w:pPr>
    <w:rPr>
      <w:rFonts w:ascii="仿宋_GB2312" w:hAnsi="仿宋_GB2312" w:eastAsia="仿宋_GB2312" w:cs="仿宋_GB2312"/>
      <w:kern w:val="0"/>
      <w:sz w:val="22"/>
      <w:szCs w:val="22"/>
      <w:lang w:val="zh-CN" w:bidi="zh-CN"/>
    </w:rPr>
  </w:style>
  <w:style w:type="paragraph" w:customStyle="1" w:styleId="29">
    <w:name w:val="列出段落1"/>
    <w:basedOn w:val="1"/>
    <w:uiPriority w:val="0"/>
    <w:pPr>
      <w:ind w:firstLine="420" w:firstLineChars="200"/>
    </w:pPr>
    <w:rPr>
      <w:rFonts w:ascii="Calibri" w:hAnsi="Calibri" w:eastAsia="宋体" w:cs="Calibri"/>
      <w:szCs w:val="21"/>
    </w:rPr>
  </w:style>
  <w:style w:type="paragraph" w:styleId="30">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31">
    <w:name w:val="列表段落"/>
    <w:basedOn w:val="1"/>
    <w:qFormat/>
    <w:uiPriority w:val="0"/>
    <w:pPr>
      <w:widowControl/>
      <w:ind w:left="720"/>
      <w:contextualSpacing/>
      <w:jc w:val="left"/>
    </w:pPr>
    <w:rPr>
      <w:rFonts w:ascii="Times New Roman" w:hAnsi="Times New Roman" w:eastAsia="宋体"/>
      <w:kern w:val="0"/>
      <w:sz w:val="24"/>
      <w:lang w:eastAsia="en-US"/>
    </w:rPr>
  </w:style>
  <w:style w:type="character" w:customStyle="1" w:styleId="32">
    <w:name w:val="Footer Char"/>
    <w:basedOn w:val="13"/>
    <w:semiHidden/>
    <w:locked/>
    <w:uiPriority w:val="0"/>
    <w:rPr>
      <w:rFonts w:eastAsia="仿宋_GB2312"/>
      <w:kern w:val="2"/>
      <w:sz w:val="18"/>
      <w:szCs w:val="18"/>
      <w:lang w:bidi="ar-SA"/>
    </w:rPr>
  </w:style>
  <w:style w:type="character" w:customStyle="1" w:styleId="33">
    <w:name w:val="Header Char"/>
    <w:basedOn w:val="13"/>
    <w:semiHidden/>
    <w:locked/>
    <w:uiPriority w:val="0"/>
    <w:rPr>
      <w:rFonts w:eastAsia="仿宋_GB2312"/>
      <w:kern w:val="2"/>
      <w:sz w:val="18"/>
      <w:szCs w:val="18"/>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367</Words>
  <Characters>2098</Characters>
  <Lines>17</Lines>
  <Paragraphs>4</Paragraphs>
  <TotalTime>2</TotalTime>
  <ScaleCrop>false</ScaleCrop>
  <LinksUpToDate>false</LinksUpToDate>
  <CharactersWithSpaces>2461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2021-05-27T07:47:00Z</dcterms:created>
  <dc:creator>於 泳</dc:creator>
  <cp:lastModifiedBy>丹</cp:lastModifiedBy>
  <cp:lastPrinted>2021-05-20T08:01:00Z</cp:lastPrinted>
  <dcterms:modified xsi:type="dcterms:W3CDTF">2022-06-13T02:28:01Z</dcterms:modified>
  <dc:title>院政发〔2020〕21号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